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83F4" w14:textId="77777777" w:rsidR="009A35E5" w:rsidRPr="00A30161" w:rsidRDefault="009A35E5" w:rsidP="005309C4">
      <w:pPr>
        <w:spacing w:line="240" w:lineRule="auto"/>
        <w:jc w:val="center"/>
        <w:rPr>
          <w:rFonts w:ascii="Arial" w:hAnsi="Arial" w:cs="Arial"/>
          <w:b/>
          <w:bCs/>
          <w:sz w:val="24"/>
          <w:szCs w:val="24"/>
        </w:rPr>
      </w:pPr>
      <w:bookmarkStart w:id="0" w:name="_GoBack"/>
      <w:bookmarkEnd w:id="0"/>
      <w:r w:rsidRPr="00A30161">
        <w:rPr>
          <w:rFonts w:ascii="Arial" w:hAnsi="Arial" w:cs="Arial"/>
          <w:b/>
          <w:bCs/>
          <w:sz w:val="24"/>
          <w:szCs w:val="24"/>
        </w:rPr>
        <w:t>DOMESTIC HOMICIDE REVIEW</w:t>
      </w:r>
    </w:p>
    <w:p w14:paraId="54E283F5" w14:textId="77777777" w:rsidR="009A35E5" w:rsidRPr="00A30161" w:rsidRDefault="009A35E5" w:rsidP="005309C4">
      <w:pPr>
        <w:spacing w:line="240" w:lineRule="auto"/>
        <w:jc w:val="center"/>
        <w:rPr>
          <w:rFonts w:ascii="Arial" w:hAnsi="Arial" w:cs="Arial"/>
          <w:b/>
          <w:bCs/>
          <w:sz w:val="24"/>
          <w:szCs w:val="24"/>
        </w:rPr>
      </w:pPr>
      <w:r w:rsidRPr="00A30161">
        <w:rPr>
          <w:rFonts w:ascii="Arial" w:hAnsi="Arial" w:cs="Arial"/>
          <w:b/>
          <w:bCs/>
          <w:sz w:val="24"/>
          <w:szCs w:val="24"/>
        </w:rPr>
        <w:t>EXECUTIVE SUMMARY</w:t>
      </w:r>
    </w:p>
    <w:p w14:paraId="54E283F6" w14:textId="77777777" w:rsidR="009A35E5" w:rsidRPr="00A30161" w:rsidRDefault="009A35E5" w:rsidP="005309C4">
      <w:pPr>
        <w:spacing w:line="240" w:lineRule="auto"/>
        <w:jc w:val="center"/>
        <w:rPr>
          <w:rFonts w:ascii="Arial" w:hAnsi="Arial" w:cs="Arial"/>
          <w:b/>
          <w:bCs/>
          <w:i/>
          <w:iCs/>
          <w:sz w:val="24"/>
          <w:szCs w:val="24"/>
        </w:rPr>
      </w:pPr>
      <w:r w:rsidRPr="00A30161">
        <w:rPr>
          <w:rFonts w:ascii="Arial" w:hAnsi="Arial" w:cs="Arial"/>
          <w:b/>
          <w:bCs/>
          <w:sz w:val="24"/>
          <w:szCs w:val="24"/>
        </w:rPr>
        <w:t xml:space="preserve">REPORT INTO THE DEATH OF ADULT </w:t>
      </w:r>
      <w:r>
        <w:rPr>
          <w:rFonts w:ascii="Arial" w:hAnsi="Arial" w:cs="Arial"/>
          <w:b/>
          <w:bCs/>
          <w:sz w:val="24"/>
          <w:szCs w:val="24"/>
        </w:rPr>
        <w:t>MALE JOHN</w:t>
      </w:r>
      <w:r w:rsidRPr="00A30161">
        <w:rPr>
          <w:rFonts w:ascii="Arial" w:hAnsi="Arial" w:cs="Arial"/>
          <w:b/>
          <w:bCs/>
          <w:sz w:val="24"/>
          <w:szCs w:val="24"/>
        </w:rPr>
        <w:t xml:space="preserve"> on 19 November 2011</w:t>
      </w:r>
    </w:p>
    <w:p w14:paraId="54E283F7" w14:textId="77777777" w:rsidR="009A35E5" w:rsidRPr="00A30161" w:rsidRDefault="009A35E5" w:rsidP="005309C4">
      <w:pPr>
        <w:spacing w:line="240" w:lineRule="auto"/>
        <w:jc w:val="center"/>
        <w:rPr>
          <w:rFonts w:ascii="Arial" w:hAnsi="Arial" w:cs="Arial"/>
          <w:b/>
          <w:bCs/>
          <w:sz w:val="24"/>
          <w:szCs w:val="24"/>
        </w:rPr>
      </w:pPr>
      <w:r w:rsidRPr="00A30161">
        <w:rPr>
          <w:rFonts w:ascii="Arial" w:hAnsi="Arial" w:cs="Arial"/>
          <w:b/>
          <w:bCs/>
          <w:sz w:val="24"/>
          <w:szCs w:val="24"/>
        </w:rPr>
        <w:tab/>
        <w:t xml:space="preserve">Report produced by North Somerset People and Communities Board </w:t>
      </w:r>
    </w:p>
    <w:p w14:paraId="54E283F8" w14:textId="77777777" w:rsidR="009A35E5" w:rsidRPr="00A30161" w:rsidRDefault="009A35E5" w:rsidP="005309C4">
      <w:pPr>
        <w:spacing w:line="240" w:lineRule="auto"/>
        <w:jc w:val="center"/>
        <w:rPr>
          <w:rFonts w:ascii="Arial" w:hAnsi="Arial" w:cs="Arial"/>
          <w:b/>
          <w:bCs/>
          <w:sz w:val="24"/>
          <w:szCs w:val="24"/>
        </w:rPr>
      </w:pPr>
      <w:r>
        <w:rPr>
          <w:rFonts w:ascii="Arial" w:hAnsi="Arial" w:cs="Arial"/>
          <w:b/>
          <w:bCs/>
          <w:sz w:val="24"/>
          <w:szCs w:val="24"/>
        </w:rPr>
        <w:t>25</w:t>
      </w:r>
      <w:r w:rsidRPr="00A30161">
        <w:rPr>
          <w:rFonts w:ascii="Arial" w:hAnsi="Arial" w:cs="Arial"/>
          <w:b/>
          <w:bCs/>
          <w:sz w:val="24"/>
          <w:szCs w:val="24"/>
        </w:rPr>
        <w:t xml:space="preserve"> November 2013</w:t>
      </w:r>
    </w:p>
    <w:p w14:paraId="54E283F9" w14:textId="77777777" w:rsidR="009A35E5" w:rsidRPr="00A30161" w:rsidRDefault="009A35E5" w:rsidP="005309C4">
      <w:pPr>
        <w:pStyle w:val="ListParagraph"/>
        <w:numPr>
          <w:ilvl w:val="0"/>
          <w:numId w:val="1"/>
        </w:numPr>
        <w:spacing w:line="240" w:lineRule="auto"/>
        <w:rPr>
          <w:rFonts w:ascii="Arial" w:hAnsi="Arial" w:cs="Arial"/>
          <w:b/>
          <w:bCs/>
          <w:sz w:val="24"/>
          <w:szCs w:val="24"/>
        </w:rPr>
      </w:pPr>
      <w:r w:rsidRPr="00A30161">
        <w:rPr>
          <w:rFonts w:ascii="Arial" w:hAnsi="Arial" w:cs="Arial"/>
          <w:b/>
          <w:bCs/>
          <w:sz w:val="24"/>
          <w:szCs w:val="24"/>
        </w:rPr>
        <w:t>Introduction</w:t>
      </w:r>
    </w:p>
    <w:p w14:paraId="54E283FA" w14:textId="77777777" w:rsidR="009A35E5" w:rsidRPr="00A30161" w:rsidRDefault="009A35E5" w:rsidP="005309C4">
      <w:pPr>
        <w:pStyle w:val="ListParagraph"/>
        <w:spacing w:after="0" w:line="240" w:lineRule="auto"/>
        <w:rPr>
          <w:rFonts w:ascii="Arial" w:hAnsi="Arial" w:cs="Arial"/>
          <w:sz w:val="24"/>
          <w:szCs w:val="24"/>
        </w:rPr>
      </w:pPr>
      <w:r w:rsidRPr="00A30161">
        <w:rPr>
          <w:rFonts w:ascii="Arial" w:hAnsi="Arial" w:cs="Arial"/>
          <w:sz w:val="24"/>
          <w:szCs w:val="24"/>
        </w:rPr>
        <w:t>This Executive Summary of a Domestic Homicide Review (DHR) provides a brief overview of the full DHR report regarding John, a resident of North Somerset prior to the point of his death on 19 November 2011.</w:t>
      </w:r>
    </w:p>
    <w:p w14:paraId="54E283FB" w14:textId="77777777" w:rsidR="009A35E5" w:rsidRPr="00A30161" w:rsidRDefault="009A35E5" w:rsidP="005309C4">
      <w:pPr>
        <w:pStyle w:val="ListParagraph"/>
        <w:spacing w:after="0" w:line="240" w:lineRule="auto"/>
        <w:rPr>
          <w:rFonts w:ascii="Arial" w:hAnsi="Arial" w:cs="Arial"/>
          <w:sz w:val="24"/>
          <w:szCs w:val="24"/>
        </w:rPr>
      </w:pPr>
    </w:p>
    <w:p w14:paraId="54E283FC" w14:textId="77777777" w:rsidR="009A35E5" w:rsidRPr="00A30161" w:rsidRDefault="009A35E5" w:rsidP="005309C4">
      <w:pPr>
        <w:pStyle w:val="ListParagraph"/>
        <w:spacing w:after="0" w:line="240" w:lineRule="auto"/>
        <w:rPr>
          <w:rFonts w:ascii="Arial" w:hAnsi="Arial" w:cs="Arial"/>
          <w:sz w:val="24"/>
          <w:szCs w:val="24"/>
        </w:rPr>
      </w:pPr>
      <w:r w:rsidRPr="00A30161">
        <w:rPr>
          <w:rFonts w:ascii="Arial" w:hAnsi="Arial" w:cs="Arial"/>
          <w:sz w:val="24"/>
          <w:szCs w:val="24"/>
        </w:rPr>
        <w:t xml:space="preserve">The key purpose for undertaking DHRs is to enable lessons to be learned from homicides where a person is killed </w:t>
      </w:r>
      <w:proofErr w:type="gramStart"/>
      <w:r w:rsidRPr="00A30161">
        <w:rPr>
          <w:rFonts w:ascii="Arial" w:hAnsi="Arial" w:cs="Arial"/>
          <w:sz w:val="24"/>
          <w:szCs w:val="24"/>
        </w:rPr>
        <w:t>as a result of</w:t>
      </w:r>
      <w:proofErr w:type="gramEnd"/>
      <w:r w:rsidRPr="00A30161">
        <w:rPr>
          <w:rFonts w:ascii="Arial" w:hAnsi="Arial" w:cs="Arial"/>
          <w:sz w:val="24"/>
          <w:szCs w:val="24"/>
        </w:rPr>
        <w:t xml:space="preserve"> domestic violence. </w:t>
      </w:r>
    </w:p>
    <w:p w14:paraId="54E283FD" w14:textId="77777777" w:rsidR="009A35E5" w:rsidRPr="00A30161" w:rsidRDefault="009A35E5" w:rsidP="005309C4">
      <w:pPr>
        <w:pStyle w:val="ListParagraph"/>
        <w:spacing w:after="0" w:line="240" w:lineRule="auto"/>
        <w:rPr>
          <w:rFonts w:ascii="Arial" w:hAnsi="Arial" w:cs="Arial"/>
          <w:sz w:val="24"/>
          <w:szCs w:val="24"/>
        </w:rPr>
      </w:pPr>
    </w:p>
    <w:p w14:paraId="54E283FE" w14:textId="77777777" w:rsidR="009A35E5" w:rsidRPr="00A30161" w:rsidRDefault="009A35E5" w:rsidP="005309C4">
      <w:pPr>
        <w:pStyle w:val="ListParagraph"/>
        <w:numPr>
          <w:ilvl w:val="0"/>
          <w:numId w:val="1"/>
        </w:numPr>
        <w:spacing w:after="0" w:line="240" w:lineRule="auto"/>
        <w:rPr>
          <w:rFonts w:ascii="Arial" w:hAnsi="Arial" w:cs="Arial"/>
          <w:b/>
          <w:bCs/>
          <w:sz w:val="24"/>
          <w:szCs w:val="24"/>
        </w:rPr>
      </w:pPr>
      <w:r w:rsidRPr="00A30161">
        <w:rPr>
          <w:rFonts w:ascii="Arial" w:hAnsi="Arial" w:cs="Arial"/>
          <w:b/>
          <w:bCs/>
          <w:sz w:val="24"/>
          <w:szCs w:val="24"/>
        </w:rPr>
        <w:t>The Review Process</w:t>
      </w:r>
    </w:p>
    <w:p w14:paraId="54E283FF" w14:textId="77777777" w:rsidR="009A35E5" w:rsidRPr="00A30161" w:rsidRDefault="009A35E5" w:rsidP="005309C4">
      <w:pPr>
        <w:pStyle w:val="ListParagraph"/>
        <w:spacing w:after="0" w:line="240" w:lineRule="auto"/>
        <w:rPr>
          <w:rFonts w:ascii="Arial" w:hAnsi="Arial" w:cs="Arial"/>
          <w:sz w:val="24"/>
          <w:szCs w:val="24"/>
        </w:rPr>
      </w:pPr>
    </w:p>
    <w:p w14:paraId="54E28400" w14:textId="77777777" w:rsidR="009A35E5" w:rsidRPr="00A30161" w:rsidRDefault="009A35E5" w:rsidP="005309C4">
      <w:pPr>
        <w:pStyle w:val="ListParagraph"/>
        <w:spacing w:after="0" w:line="240" w:lineRule="auto"/>
        <w:rPr>
          <w:rFonts w:ascii="Arial" w:hAnsi="Arial" w:cs="Arial"/>
          <w:sz w:val="24"/>
          <w:szCs w:val="24"/>
          <w:u w:val="single"/>
        </w:rPr>
      </w:pPr>
      <w:r w:rsidRPr="00A30161">
        <w:rPr>
          <w:rFonts w:ascii="Arial" w:hAnsi="Arial" w:cs="Arial"/>
          <w:sz w:val="24"/>
          <w:szCs w:val="24"/>
          <w:u w:val="single"/>
        </w:rPr>
        <w:t>Circumstances leading to the Review</w:t>
      </w:r>
    </w:p>
    <w:p w14:paraId="54E28401" w14:textId="77777777" w:rsidR="009A35E5" w:rsidRPr="00A30161" w:rsidRDefault="009A35E5" w:rsidP="005309C4">
      <w:pPr>
        <w:pStyle w:val="ListParagraph"/>
        <w:spacing w:after="0" w:line="240" w:lineRule="auto"/>
        <w:rPr>
          <w:rFonts w:ascii="Arial" w:hAnsi="Arial" w:cs="Arial"/>
          <w:sz w:val="24"/>
          <w:szCs w:val="24"/>
          <w:u w:val="single"/>
        </w:rPr>
      </w:pPr>
    </w:p>
    <w:p w14:paraId="54E28402" w14:textId="77777777" w:rsidR="009A35E5" w:rsidRPr="00A30161" w:rsidRDefault="009A35E5" w:rsidP="005309C4">
      <w:pPr>
        <w:pStyle w:val="ListParagraph"/>
        <w:spacing w:after="0" w:line="240" w:lineRule="auto"/>
        <w:rPr>
          <w:rFonts w:ascii="Arial" w:hAnsi="Arial" w:cs="Arial"/>
          <w:b/>
          <w:bCs/>
          <w:sz w:val="24"/>
          <w:szCs w:val="24"/>
        </w:rPr>
      </w:pPr>
      <w:r w:rsidRPr="00A30161">
        <w:rPr>
          <w:rFonts w:ascii="Arial" w:hAnsi="Arial" w:cs="Arial"/>
          <w:sz w:val="24"/>
          <w:szCs w:val="24"/>
        </w:rPr>
        <w:t xml:space="preserve">This review was commissioned by North Somerset People and Communities Board on 22 December 2011 following the unexpected death of John on 19 November 2011 and the arrest of his partner, Mary, who was charged with John’s murder. Mary was subsequently found not guilty of murder or </w:t>
      </w:r>
      <w:r>
        <w:rPr>
          <w:rFonts w:ascii="Arial" w:hAnsi="Arial" w:cs="Arial"/>
          <w:sz w:val="24"/>
          <w:szCs w:val="24"/>
        </w:rPr>
        <w:t>manslaughter</w:t>
      </w:r>
      <w:r w:rsidRPr="00A30161">
        <w:rPr>
          <w:rFonts w:ascii="Arial" w:hAnsi="Arial" w:cs="Arial"/>
          <w:sz w:val="24"/>
          <w:szCs w:val="24"/>
        </w:rPr>
        <w:t xml:space="preserve">. </w:t>
      </w:r>
    </w:p>
    <w:p w14:paraId="54E28403" w14:textId="77777777" w:rsidR="009A35E5" w:rsidRPr="00A30161" w:rsidRDefault="009A35E5" w:rsidP="005309C4">
      <w:pPr>
        <w:spacing w:after="0" w:line="240" w:lineRule="auto"/>
        <w:ind w:left="720"/>
        <w:rPr>
          <w:rFonts w:ascii="Arial" w:hAnsi="Arial" w:cs="Arial"/>
          <w:sz w:val="24"/>
          <w:szCs w:val="24"/>
        </w:rPr>
      </w:pPr>
    </w:p>
    <w:p w14:paraId="54E28404" w14:textId="77777777" w:rsidR="009A35E5" w:rsidRPr="00A30161" w:rsidRDefault="009A35E5" w:rsidP="005309C4">
      <w:pPr>
        <w:spacing w:after="0" w:line="240" w:lineRule="auto"/>
        <w:ind w:left="720"/>
        <w:rPr>
          <w:rFonts w:ascii="Arial" w:hAnsi="Arial" w:cs="Arial"/>
          <w:sz w:val="24"/>
          <w:szCs w:val="24"/>
          <w:u w:val="single"/>
        </w:rPr>
      </w:pPr>
      <w:r w:rsidRPr="00A30161">
        <w:rPr>
          <w:rFonts w:ascii="Arial" w:hAnsi="Arial" w:cs="Arial"/>
          <w:sz w:val="24"/>
          <w:szCs w:val="24"/>
          <w:u w:val="single"/>
        </w:rPr>
        <w:t>Timescales and Methodology</w:t>
      </w:r>
    </w:p>
    <w:p w14:paraId="54E28405" w14:textId="77777777" w:rsidR="009A35E5" w:rsidRPr="00A30161" w:rsidRDefault="009A35E5" w:rsidP="005309C4">
      <w:pPr>
        <w:spacing w:after="0" w:line="240" w:lineRule="auto"/>
        <w:ind w:left="720"/>
        <w:rPr>
          <w:rFonts w:ascii="Arial" w:hAnsi="Arial" w:cs="Arial"/>
          <w:sz w:val="24"/>
          <w:szCs w:val="24"/>
          <w:u w:val="single"/>
        </w:rPr>
      </w:pPr>
    </w:p>
    <w:p w14:paraId="54E28406" w14:textId="77777777" w:rsidR="009A35E5" w:rsidRPr="00A30161" w:rsidRDefault="009A35E5" w:rsidP="005309C4">
      <w:pPr>
        <w:pStyle w:val="ListParagraph"/>
        <w:spacing w:after="0" w:line="240" w:lineRule="auto"/>
        <w:rPr>
          <w:rFonts w:ascii="Arial" w:hAnsi="Arial" w:cs="Arial"/>
          <w:b/>
          <w:bCs/>
          <w:sz w:val="24"/>
          <w:szCs w:val="24"/>
        </w:rPr>
      </w:pPr>
      <w:r w:rsidRPr="00A30161">
        <w:rPr>
          <w:rFonts w:ascii="Arial" w:hAnsi="Arial" w:cs="Arial"/>
          <w:sz w:val="24"/>
          <w:szCs w:val="24"/>
        </w:rPr>
        <w:t xml:space="preserve">This review originally began on 25 July 2012 following the conclusion of criminal proceedings.  Independent Management Reviews (IMRs) were commissioned from Avon and Somerset Constabulary, </w:t>
      </w:r>
      <w:proofErr w:type="gramStart"/>
      <w:r w:rsidRPr="00A30161">
        <w:rPr>
          <w:rFonts w:ascii="Arial" w:hAnsi="Arial" w:cs="Arial"/>
          <w:sz w:val="24"/>
          <w:szCs w:val="24"/>
        </w:rPr>
        <w:t>John’s  and</w:t>
      </w:r>
      <w:proofErr w:type="gramEnd"/>
      <w:r w:rsidRPr="00A30161">
        <w:rPr>
          <w:rFonts w:ascii="Arial" w:hAnsi="Arial" w:cs="Arial"/>
          <w:sz w:val="24"/>
          <w:szCs w:val="24"/>
        </w:rPr>
        <w:t xml:space="preserve"> Mary’s GPs, Avon and Wiltshire Partnership NHS Trust and Avon and Somerset Probation Trust. They were received by 10 December 2012.  </w:t>
      </w:r>
    </w:p>
    <w:p w14:paraId="54E28407" w14:textId="77777777" w:rsidR="009A35E5" w:rsidRPr="00A30161" w:rsidRDefault="009A35E5" w:rsidP="005309C4">
      <w:pPr>
        <w:pStyle w:val="ListParagraph"/>
        <w:spacing w:after="0" w:line="240" w:lineRule="auto"/>
        <w:rPr>
          <w:rFonts w:ascii="Arial" w:hAnsi="Arial" w:cs="Arial"/>
          <w:sz w:val="24"/>
          <w:szCs w:val="24"/>
        </w:rPr>
      </w:pPr>
    </w:p>
    <w:p w14:paraId="54E28408" w14:textId="77777777" w:rsidR="009A35E5" w:rsidRPr="00A30161" w:rsidRDefault="009A35E5" w:rsidP="005309C4">
      <w:pPr>
        <w:pStyle w:val="ListParagraph"/>
        <w:spacing w:after="0" w:line="240" w:lineRule="auto"/>
        <w:rPr>
          <w:rFonts w:ascii="Arial" w:hAnsi="Arial" w:cs="Arial"/>
          <w:bCs/>
          <w:sz w:val="24"/>
          <w:szCs w:val="24"/>
          <w:u w:val="single"/>
        </w:rPr>
      </w:pPr>
      <w:r w:rsidRPr="00A30161">
        <w:rPr>
          <w:rFonts w:ascii="Arial" w:hAnsi="Arial" w:cs="Arial"/>
          <w:sz w:val="24"/>
          <w:szCs w:val="24"/>
        </w:rPr>
        <w:t xml:space="preserve">Delays to the final report were caused by attempts to contact Mary and </w:t>
      </w:r>
      <w:proofErr w:type="gramStart"/>
      <w:r w:rsidRPr="00A30161">
        <w:rPr>
          <w:rFonts w:ascii="Arial" w:hAnsi="Arial" w:cs="Arial"/>
          <w:sz w:val="24"/>
          <w:szCs w:val="24"/>
        </w:rPr>
        <w:t>in order to</w:t>
      </w:r>
      <w:proofErr w:type="gramEnd"/>
      <w:r w:rsidRPr="00A30161">
        <w:rPr>
          <w:rFonts w:ascii="Arial" w:hAnsi="Arial" w:cs="Arial"/>
          <w:sz w:val="24"/>
          <w:szCs w:val="24"/>
        </w:rPr>
        <w:t xml:space="preserve"> allow contact with the family of John and their input into the process.  However, implementation of the recommendations arising from the IMRs and analysis were not delayed.</w:t>
      </w:r>
    </w:p>
    <w:p w14:paraId="54E28409" w14:textId="77777777" w:rsidR="009A35E5" w:rsidRPr="00A30161" w:rsidRDefault="009A35E5" w:rsidP="005309C4">
      <w:pPr>
        <w:pStyle w:val="ListParagraph"/>
        <w:spacing w:after="0" w:line="240" w:lineRule="auto"/>
        <w:rPr>
          <w:rFonts w:ascii="Arial" w:hAnsi="Arial" w:cs="Arial"/>
          <w:bCs/>
          <w:sz w:val="24"/>
          <w:szCs w:val="24"/>
          <w:u w:val="single"/>
        </w:rPr>
      </w:pPr>
    </w:p>
    <w:p w14:paraId="54E2840A" w14:textId="77777777" w:rsidR="009A35E5" w:rsidRPr="00A30161" w:rsidRDefault="009A35E5" w:rsidP="005309C4">
      <w:pPr>
        <w:pStyle w:val="ListParagraph"/>
        <w:spacing w:after="0" w:line="240" w:lineRule="auto"/>
        <w:rPr>
          <w:rFonts w:ascii="Arial" w:hAnsi="Arial" w:cs="Arial"/>
          <w:bCs/>
          <w:sz w:val="24"/>
          <w:szCs w:val="24"/>
          <w:u w:val="single"/>
        </w:rPr>
      </w:pPr>
      <w:r w:rsidRPr="00A30161">
        <w:rPr>
          <w:rFonts w:ascii="Arial" w:hAnsi="Arial" w:cs="Arial"/>
          <w:bCs/>
          <w:sz w:val="24"/>
          <w:szCs w:val="24"/>
          <w:u w:val="single"/>
        </w:rPr>
        <w:t>DHR Panel Members</w:t>
      </w:r>
    </w:p>
    <w:p w14:paraId="54E2840B" w14:textId="77777777" w:rsidR="009A35E5" w:rsidRPr="00A30161" w:rsidRDefault="009A35E5" w:rsidP="005309C4">
      <w:pPr>
        <w:pStyle w:val="ListParagraph"/>
        <w:spacing w:after="0" w:line="240" w:lineRule="auto"/>
        <w:rPr>
          <w:rFonts w:ascii="Arial" w:hAnsi="Arial" w:cs="Arial"/>
          <w:bCs/>
          <w:sz w:val="24"/>
          <w:szCs w:val="24"/>
          <w:u w:val="single"/>
        </w:rPr>
      </w:pPr>
    </w:p>
    <w:p w14:paraId="54E2840C" w14:textId="77777777" w:rsidR="009A35E5" w:rsidRPr="00A30161" w:rsidRDefault="009A35E5" w:rsidP="005309C4">
      <w:pPr>
        <w:pStyle w:val="ListParagraph"/>
        <w:spacing w:after="0" w:line="240" w:lineRule="auto"/>
        <w:ind w:left="709"/>
        <w:rPr>
          <w:rFonts w:ascii="Arial" w:hAnsi="Arial" w:cs="Arial"/>
          <w:sz w:val="24"/>
          <w:szCs w:val="24"/>
        </w:rPr>
      </w:pPr>
      <w:r w:rsidRPr="00A30161">
        <w:rPr>
          <w:rFonts w:ascii="Arial" w:hAnsi="Arial" w:cs="Arial"/>
          <w:sz w:val="24"/>
          <w:szCs w:val="24"/>
        </w:rPr>
        <w:t>Cathy Morgan Independent Chair</w:t>
      </w:r>
    </w:p>
    <w:p w14:paraId="54E2840D" w14:textId="77777777" w:rsidR="009A35E5" w:rsidRPr="00A30161" w:rsidRDefault="009A35E5" w:rsidP="005309C4">
      <w:pPr>
        <w:pStyle w:val="ListParagraph"/>
        <w:spacing w:after="0" w:line="240" w:lineRule="auto"/>
        <w:ind w:left="709"/>
        <w:rPr>
          <w:rFonts w:ascii="Arial" w:hAnsi="Arial" w:cs="Arial"/>
          <w:sz w:val="24"/>
          <w:szCs w:val="24"/>
        </w:rPr>
      </w:pPr>
      <w:r w:rsidRPr="00A30161">
        <w:rPr>
          <w:rFonts w:ascii="Arial" w:hAnsi="Arial" w:cs="Arial"/>
          <w:sz w:val="24"/>
          <w:szCs w:val="24"/>
        </w:rPr>
        <w:t>Louise Branch CSP CSDAT North Somerset</w:t>
      </w:r>
    </w:p>
    <w:p w14:paraId="54E2840E" w14:textId="77777777" w:rsidR="009A35E5" w:rsidRPr="00A30161" w:rsidRDefault="009A35E5" w:rsidP="005309C4">
      <w:pPr>
        <w:pStyle w:val="ListParagraph"/>
        <w:spacing w:after="0" w:line="240" w:lineRule="auto"/>
        <w:ind w:left="709"/>
        <w:rPr>
          <w:rFonts w:ascii="Arial" w:hAnsi="Arial" w:cs="Arial"/>
          <w:sz w:val="24"/>
          <w:szCs w:val="24"/>
        </w:rPr>
      </w:pPr>
      <w:r w:rsidRPr="00A30161">
        <w:rPr>
          <w:rFonts w:ascii="Arial" w:hAnsi="Arial" w:cs="Arial"/>
          <w:sz w:val="24"/>
          <w:szCs w:val="24"/>
        </w:rPr>
        <w:t xml:space="preserve">DCI Phil </w:t>
      </w:r>
      <w:proofErr w:type="spellStart"/>
      <w:r w:rsidRPr="00A30161">
        <w:rPr>
          <w:rFonts w:ascii="Arial" w:hAnsi="Arial" w:cs="Arial"/>
          <w:sz w:val="24"/>
          <w:szCs w:val="24"/>
        </w:rPr>
        <w:t>Polet</w:t>
      </w:r>
      <w:proofErr w:type="spellEnd"/>
      <w:r w:rsidRPr="00A30161">
        <w:rPr>
          <w:rFonts w:ascii="Arial" w:hAnsi="Arial" w:cs="Arial"/>
          <w:sz w:val="24"/>
          <w:szCs w:val="24"/>
        </w:rPr>
        <w:t xml:space="preserve"> Avon and Somerset Constabulary</w:t>
      </w:r>
    </w:p>
    <w:p w14:paraId="54E2840F" w14:textId="77777777" w:rsidR="009A35E5" w:rsidRPr="00A30161" w:rsidRDefault="009A35E5" w:rsidP="005309C4">
      <w:pPr>
        <w:pStyle w:val="ListParagraph"/>
        <w:spacing w:after="0" w:line="240" w:lineRule="auto"/>
        <w:ind w:left="709"/>
        <w:rPr>
          <w:rFonts w:ascii="Arial" w:hAnsi="Arial" w:cs="Arial"/>
          <w:sz w:val="24"/>
          <w:szCs w:val="24"/>
        </w:rPr>
      </w:pPr>
      <w:r w:rsidRPr="00A30161">
        <w:rPr>
          <w:rFonts w:ascii="Arial" w:hAnsi="Arial" w:cs="Arial"/>
          <w:sz w:val="24"/>
          <w:szCs w:val="24"/>
        </w:rPr>
        <w:t>Fiona Birch Avon and Somerset Probation Trust</w:t>
      </w:r>
    </w:p>
    <w:p w14:paraId="54E28410" w14:textId="77777777" w:rsidR="009A35E5" w:rsidRPr="00A30161" w:rsidRDefault="009A35E5" w:rsidP="005309C4">
      <w:pPr>
        <w:pStyle w:val="ListParagraph"/>
        <w:spacing w:after="0" w:line="240" w:lineRule="auto"/>
        <w:ind w:left="709"/>
        <w:rPr>
          <w:rFonts w:ascii="Arial" w:hAnsi="Arial" w:cs="Arial"/>
          <w:sz w:val="24"/>
          <w:szCs w:val="24"/>
        </w:rPr>
      </w:pPr>
      <w:r w:rsidRPr="00A30161">
        <w:rPr>
          <w:rFonts w:ascii="Arial" w:hAnsi="Arial" w:cs="Arial"/>
          <w:sz w:val="24"/>
          <w:szCs w:val="24"/>
        </w:rPr>
        <w:t>Helen Cottee Avon and Wiltshire Mental Health Partnership NHS Trust</w:t>
      </w:r>
    </w:p>
    <w:p w14:paraId="54E28411" w14:textId="77777777" w:rsidR="009A35E5" w:rsidRPr="00A30161" w:rsidRDefault="009A35E5" w:rsidP="005309C4">
      <w:pPr>
        <w:pStyle w:val="ListParagraph"/>
        <w:spacing w:after="0" w:line="240" w:lineRule="auto"/>
        <w:ind w:left="709"/>
        <w:rPr>
          <w:rFonts w:ascii="Arial" w:hAnsi="Arial" w:cs="Arial"/>
          <w:sz w:val="24"/>
          <w:szCs w:val="24"/>
        </w:rPr>
      </w:pPr>
      <w:r w:rsidRPr="00A30161">
        <w:rPr>
          <w:rFonts w:ascii="Arial" w:hAnsi="Arial" w:cs="Arial"/>
          <w:sz w:val="24"/>
          <w:szCs w:val="24"/>
        </w:rPr>
        <w:t>Howard Pothecary CSP CSDAT North Somerset</w:t>
      </w:r>
    </w:p>
    <w:p w14:paraId="54E28412" w14:textId="77777777" w:rsidR="009A35E5" w:rsidRPr="00A30161" w:rsidRDefault="009A35E5" w:rsidP="005309C4">
      <w:pPr>
        <w:pStyle w:val="ListParagraph"/>
        <w:spacing w:after="0" w:line="240" w:lineRule="auto"/>
        <w:ind w:left="709"/>
        <w:rPr>
          <w:rFonts w:ascii="Arial" w:hAnsi="Arial" w:cs="Arial"/>
          <w:sz w:val="24"/>
          <w:szCs w:val="24"/>
        </w:rPr>
      </w:pPr>
      <w:r w:rsidRPr="00A30161">
        <w:rPr>
          <w:rFonts w:ascii="Arial" w:hAnsi="Arial" w:cs="Arial"/>
          <w:sz w:val="24"/>
          <w:szCs w:val="24"/>
        </w:rPr>
        <w:t>Richard Lyle NHS Bristol</w:t>
      </w:r>
    </w:p>
    <w:p w14:paraId="54E28413" w14:textId="77777777" w:rsidR="009A35E5" w:rsidRPr="00A30161" w:rsidRDefault="009A35E5" w:rsidP="005309C4">
      <w:pPr>
        <w:pStyle w:val="ListParagraph"/>
        <w:spacing w:after="0" w:line="240" w:lineRule="auto"/>
        <w:ind w:left="709"/>
        <w:rPr>
          <w:rFonts w:ascii="Arial" w:hAnsi="Arial" w:cs="Arial"/>
          <w:sz w:val="24"/>
          <w:szCs w:val="24"/>
        </w:rPr>
      </w:pPr>
      <w:r w:rsidRPr="00A30161">
        <w:rPr>
          <w:rFonts w:ascii="Arial" w:hAnsi="Arial" w:cs="Arial"/>
          <w:sz w:val="24"/>
          <w:szCs w:val="24"/>
        </w:rPr>
        <w:t>Rhiannon Griffiths Safer Bristol</w:t>
      </w:r>
    </w:p>
    <w:p w14:paraId="54E28414" w14:textId="77777777" w:rsidR="009A35E5" w:rsidRPr="00A30161" w:rsidRDefault="009A35E5" w:rsidP="005309C4">
      <w:pPr>
        <w:pStyle w:val="ListParagraph"/>
        <w:spacing w:after="0" w:line="240" w:lineRule="auto"/>
        <w:ind w:left="709"/>
        <w:rPr>
          <w:rFonts w:ascii="Arial" w:hAnsi="Arial" w:cs="Arial"/>
          <w:sz w:val="24"/>
          <w:szCs w:val="24"/>
        </w:rPr>
      </w:pPr>
      <w:r w:rsidRPr="00A30161">
        <w:rPr>
          <w:rFonts w:ascii="Arial" w:hAnsi="Arial" w:cs="Arial"/>
          <w:sz w:val="24"/>
          <w:szCs w:val="24"/>
        </w:rPr>
        <w:lastRenderedPageBreak/>
        <w:t>Pete Anderson Safer Bristol</w:t>
      </w:r>
    </w:p>
    <w:p w14:paraId="54E28415" w14:textId="77777777" w:rsidR="009A35E5" w:rsidRPr="00A30161" w:rsidRDefault="009A35E5" w:rsidP="005309C4">
      <w:pPr>
        <w:pStyle w:val="ListParagraph"/>
        <w:spacing w:after="0" w:line="240" w:lineRule="auto"/>
        <w:ind w:left="709"/>
        <w:rPr>
          <w:rFonts w:ascii="Arial" w:hAnsi="Arial" w:cs="Arial"/>
          <w:sz w:val="24"/>
          <w:szCs w:val="24"/>
        </w:rPr>
      </w:pPr>
      <w:proofErr w:type="spellStart"/>
      <w:r w:rsidRPr="00A30161">
        <w:rPr>
          <w:rFonts w:ascii="Arial" w:hAnsi="Arial" w:cs="Arial"/>
          <w:sz w:val="24"/>
          <w:szCs w:val="24"/>
        </w:rPr>
        <w:t>Pommy</w:t>
      </w:r>
      <w:proofErr w:type="spellEnd"/>
      <w:r w:rsidRPr="00A30161">
        <w:rPr>
          <w:rFonts w:ascii="Arial" w:hAnsi="Arial" w:cs="Arial"/>
          <w:sz w:val="24"/>
          <w:szCs w:val="24"/>
        </w:rPr>
        <w:t xml:space="preserve"> Harmer Next Link</w:t>
      </w:r>
    </w:p>
    <w:p w14:paraId="54E28416" w14:textId="77777777" w:rsidR="009A35E5" w:rsidRPr="00A30161" w:rsidRDefault="009A35E5" w:rsidP="005309C4">
      <w:pPr>
        <w:pStyle w:val="ListParagraph"/>
        <w:spacing w:line="240" w:lineRule="auto"/>
        <w:rPr>
          <w:rFonts w:ascii="Arial" w:hAnsi="Arial" w:cs="Arial"/>
          <w:b/>
          <w:sz w:val="24"/>
          <w:szCs w:val="24"/>
        </w:rPr>
      </w:pPr>
    </w:p>
    <w:p w14:paraId="54E28417" w14:textId="77777777" w:rsidR="009A35E5" w:rsidRPr="00A30161" w:rsidRDefault="009A35E5" w:rsidP="005309C4">
      <w:pPr>
        <w:pStyle w:val="ListParagraph"/>
        <w:numPr>
          <w:ilvl w:val="0"/>
          <w:numId w:val="1"/>
        </w:numPr>
        <w:spacing w:line="240" w:lineRule="auto"/>
        <w:rPr>
          <w:rFonts w:ascii="Arial" w:hAnsi="Arial" w:cs="Arial"/>
          <w:b/>
          <w:sz w:val="24"/>
          <w:szCs w:val="24"/>
        </w:rPr>
      </w:pPr>
      <w:r w:rsidRPr="00A30161">
        <w:rPr>
          <w:rFonts w:ascii="Arial" w:hAnsi="Arial" w:cs="Arial"/>
          <w:b/>
          <w:bCs/>
          <w:sz w:val="24"/>
          <w:szCs w:val="24"/>
        </w:rPr>
        <w:t>Confidentiality</w:t>
      </w:r>
    </w:p>
    <w:p w14:paraId="54E28418" w14:textId="77777777" w:rsidR="009A35E5" w:rsidRPr="00A30161" w:rsidRDefault="009A35E5" w:rsidP="005309C4">
      <w:pPr>
        <w:pStyle w:val="ListParagraph"/>
        <w:spacing w:after="0" w:line="240" w:lineRule="auto"/>
        <w:rPr>
          <w:rFonts w:ascii="Arial" w:hAnsi="Arial" w:cs="Arial"/>
          <w:b/>
          <w:sz w:val="24"/>
          <w:szCs w:val="24"/>
        </w:rPr>
      </w:pPr>
      <w:r w:rsidRPr="00A30161">
        <w:rPr>
          <w:rFonts w:ascii="Arial" w:hAnsi="Arial" w:cs="Arial"/>
          <w:sz w:val="24"/>
          <w:szCs w:val="24"/>
        </w:rPr>
        <w:t xml:space="preserve">This report is anonymised to ensure confidentiality in relation to the </w:t>
      </w:r>
      <w:r>
        <w:rPr>
          <w:rFonts w:ascii="Arial" w:hAnsi="Arial" w:cs="Arial"/>
          <w:sz w:val="24"/>
          <w:szCs w:val="24"/>
        </w:rPr>
        <w:t>parties involved</w:t>
      </w:r>
      <w:r w:rsidRPr="00A30161">
        <w:rPr>
          <w:rFonts w:ascii="Arial" w:hAnsi="Arial" w:cs="Arial"/>
          <w:sz w:val="24"/>
          <w:szCs w:val="24"/>
        </w:rPr>
        <w:t xml:space="preserve"> and their families. </w:t>
      </w:r>
      <w:proofErr w:type="gramStart"/>
      <w:r w:rsidRPr="00A30161">
        <w:rPr>
          <w:rFonts w:ascii="Arial" w:hAnsi="Arial" w:cs="Arial"/>
          <w:sz w:val="24"/>
          <w:szCs w:val="24"/>
        </w:rPr>
        <w:t>However</w:t>
      </w:r>
      <w:proofErr w:type="gramEnd"/>
      <w:r w:rsidRPr="00A30161">
        <w:rPr>
          <w:rFonts w:ascii="Arial" w:hAnsi="Arial" w:cs="Arial"/>
          <w:sz w:val="24"/>
          <w:szCs w:val="24"/>
        </w:rPr>
        <w:t xml:space="preserve"> it should be acknowledged that this is within the context of the perpetrator having gone to public trial resulting in reports in the local press.</w:t>
      </w:r>
    </w:p>
    <w:p w14:paraId="54E28419" w14:textId="77777777" w:rsidR="009A35E5" w:rsidRPr="00A30161" w:rsidRDefault="009A35E5" w:rsidP="005309C4">
      <w:pPr>
        <w:pStyle w:val="ListParagraph"/>
        <w:spacing w:after="0" w:line="240" w:lineRule="auto"/>
        <w:rPr>
          <w:rFonts w:ascii="Arial" w:hAnsi="Arial" w:cs="Arial"/>
          <w:b/>
          <w:sz w:val="24"/>
          <w:szCs w:val="24"/>
        </w:rPr>
      </w:pPr>
    </w:p>
    <w:p w14:paraId="54E2841A" w14:textId="77777777" w:rsidR="009A35E5" w:rsidRPr="00A30161" w:rsidRDefault="009A35E5" w:rsidP="005309C4">
      <w:pPr>
        <w:numPr>
          <w:ilvl w:val="0"/>
          <w:numId w:val="1"/>
        </w:numPr>
        <w:spacing w:line="240" w:lineRule="auto"/>
        <w:rPr>
          <w:rFonts w:ascii="Arial" w:hAnsi="Arial" w:cs="Arial"/>
          <w:sz w:val="24"/>
          <w:szCs w:val="24"/>
        </w:rPr>
      </w:pPr>
      <w:r w:rsidRPr="00A30161">
        <w:rPr>
          <w:rFonts w:ascii="Arial" w:hAnsi="Arial" w:cs="Arial"/>
          <w:b/>
          <w:sz w:val="24"/>
          <w:szCs w:val="24"/>
        </w:rPr>
        <w:t>Key Issues</w:t>
      </w:r>
    </w:p>
    <w:p w14:paraId="54E2841B" w14:textId="77777777" w:rsidR="009A35E5" w:rsidRPr="00A30161" w:rsidRDefault="009A35E5" w:rsidP="005309C4">
      <w:pPr>
        <w:numPr>
          <w:ilvl w:val="1"/>
          <w:numId w:val="1"/>
        </w:numPr>
        <w:spacing w:line="240" w:lineRule="auto"/>
        <w:rPr>
          <w:rFonts w:ascii="Arial" w:hAnsi="Arial" w:cs="Arial"/>
          <w:sz w:val="24"/>
          <w:szCs w:val="24"/>
        </w:rPr>
      </w:pPr>
      <w:r w:rsidRPr="00A30161">
        <w:rPr>
          <w:rFonts w:ascii="Arial" w:hAnsi="Arial" w:cs="Arial"/>
          <w:sz w:val="24"/>
          <w:szCs w:val="24"/>
        </w:rPr>
        <w:t xml:space="preserve"> Dual allegations of abuse were </w:t>
      </w:r>
      <w:proofErr w:type="gramStart"/>
      <w:r w:rsidRPr="00A30161">
        <w:rPr>
          <w:rFonts w:ascii="Arial" w:hAnsi="Arial" w:cs="Arial"/>
          <w:sz w:val="24"/>
          <w:szCs w:val="24"/>
        </w:rPr>
        <w:t>made</w:t>
      </w:r>
      <w:proofErr w:type="gramEnd"/>
      <w:r w:rsidRPr="00A30161">
        <w:rPr>
          <w:rFonts w:ascii="Arial" w:hAnsi="Arial" w:cs="Arial"/>
          <w:sz w:val="24"/>
          <w:szCs w:val="24"/>
        </w:rPr>
        <w:t xml:space="preserve"> and misuse of alcohol was a factor in the relationship. Mary had a long history of alcohol misuse and the couple liked drinking together. Although, </w:t>
      </w:r>
      <w:r>
        <w:rPr>
          <w:rFonts w:ascii="Arial" w:hAnsi="Arial" w:cs="Arial"/>
          <w:sz w:val="24"/>
          <w:szCs w:val="24"/>
        </w:rPr>
        <w:t xml:space="preserve">it should be noted that </w:t>
      </w:r>
      <w:r w:rsidRPr="00A30161">
        <w:rPr>
          <w:rFonts w:ascii="Arial" w:hAnsi="Arial" w:cs="Arial"/>
          <w:sz w:val="24"/>
          <w:szCs w:val="24"/>
        </w:rPr>
        <w:t>John’s family feel that his heavy drinking was historic and related to the death of his wife some years earlier.</w:t>
      </w:r>
    </w:p>
    <w:p w14:paraId="54E2841C" w14:textId="77777777" w:rsidR="009A35E5" w:rsidRPr="00A30161" w:rsidRDefault="009A35E5" w:rsidP="005309C4">
      <w:pPr>
        <w:numPr>
          <w:ilvl w:val="1"/>
          <w:numId w:val="1"/>
        </w:numPr>
        <w:spacing w:line="240" w:lineRule="auto"/>
        <w:rPr>
          <w:rFonts w:ascii="Arial" w:hAnsi="Arial" w:cs="Arial"/>
          <w:sz w:val="24"/>
          <w:szCs w:val="24"/>
        </w:rPr>
      </w:pPr>
      <w:r w:rsidRPr="00A30161">
        <w:rPr>
          <w:rFonts w:ascii="Arial" w:hAnsi="Arial" w:cs="Arial"/>
          <w:sz w:val="24"/>
          <w:szCs w:val="24"/>
        </w:rPr>
        <w:t>The</w:t>
      </w:r>
      <w:r>
        <w:rPr>
          <w:rFonts w:ascii="Arial" w:hAnsi="Arial" w:cs="Arial"/>
          <w:sz w:val="24"/>
          <w:szCs w:val="24"/>
        </w:rPr>
        <w:t xml:space="preserve"> death </w:t>
      </w:r>
      <w:r w:rsidRPr="00A30161">
        <w:rPr>
          <w:rFonts w:ascii="Arial" w:hAnsi="Arial" w:cs="Arial"/>
          <w:sz w:val="24"/>
          <w:szCs w:val="24"/>
        </w:rPr>
        <w:t xml:space="preserve">was difficult to predict due </w:t>
      </w:r>
      <w:r>
        <w:rPr>
          <w:rFonts w:ascii="Arial" w:hAnsi="Arial" w:cs="Arial"/>
          <w:sz w:val="24"/>
          <w:szCs w:val="24"/>
        </w:rPr>
        <w:t xml:space="preserve">to agencies’ </w:t>
      </w:r>
      <w:r w:rsidRPr="00A30161">
        <w:rPr>
          <w:rFonts w:ascii="Arial" w:hAnsi="Arial" w:cs="Arial"/>
          <w:sz w:val="24"/>
          <w:szCs w:val="24"/>
        </w:rPr>
        <w:t xml:space="preserve">lack of up to date information on the couple’s </w:t>
      </w:r>
      <w:r>
        <w:rPr>
          <w:rFonts w:ascii="Arial" w:hAnsi="Arial" w:cs="Arial"/>
          <w:sz w:val="24"/>
          <w:szCs w:val="24"/>
        </w:rPr>
        <w:t xml:space="preserve">living circumstances and their </w:t>
      </w:r>
      <w:r w:rsidRPr="00A30161">
        <w:rPr>
          <w:rFonts w:ascii="Arial" w:hAnsi="Arial" w:cs="Arial"/>
          <w:sz w:val="24"/>
          <w:szCs w:val="24"/>
        </w:rPr>
        <w:t xml:space="preserve">use of alcohol and aggression. </w:t>
      </w:r>
      <w:r>
        <w:rPr>
          <w:rFonts w:ascii="Arial" w:hAnsi="Arial" w:cs="Arial"/>
          <w:sz w:val="24"/>
          <w:szCs w:val="24"/>
        </w:rPr>
        <w:t>The i</w:t>
      </w:r>
      <w:r w:rsidRPr="00A30161">
        <w:rPr>
          <w:rFonts w:ascii="Arial" w:hAnsi="Arial" w:cs="Arial"/>
          <w:sz w:val="24"/>
          <w:szCs w:val="24"/>
        </w:rPr>
        <w:t xml:space="preserve">nformation which </w:t>
      </w:r>
      <w:r>
        <w:rPr>
          <w:rFonts w:ascii="Arial" w:hAnsi="Arial" w:cs="Arial"/>
          <w:sz w:val="24"/>
          <w:szCs w:val="24"/>
        </w:rPr>
        <w:t>was</w:t>
      </w:r>
      <w:r w:rsidRPr="00A30161">
        <w:rPr>
          <w:rFonts w:ascii="Arial" w:hAnsi="Arial" w:cs="Arial"/>
          <w:sz w:val="24"/>
          <w:szCs w:val="24"/>
        </w:rPr>
        <w:t xml:space="preserve"> obtained and actions which could be taken were limited through a lack of co-operation from both John and Mary.</w:t>
      </w:r>
    </w:p>
    <w:p w14:paraId="54E2841D" w14:textId="77777777" w:rsidR="009A35E5" w:rsidRDefault="009A35E5" w:rsidP="005309C4">
      <w:pPr>
        <w:numPr>
          <w:ilvl w:val="1"/>
          <w:numId w:val="1"/>
        </w:numPr>
        <w:spacing w:line="240" w:lineRule="auto"/>
        <w:rPr>
          <w:rFonts w:ascii="Arial" w:hAnsi="Arial" w:cs="Arial"/>
          <w:sz w:val="24"/>
          <w:szCs w:val="24"/>
        </w:rPr>
      </w:pPr>
      <w:r>
        <w:rPr>
          <w:rFonts w:ascii="Arial" w:hAnsi="Arial" w:cs="Arial"/>
          <w:sz w:val="24"/>
          <w:szCs w:val="24"/>
        </w:rPr>
        <w:t>The dynamics within the abusive relationship could not be established but th</w:t>
      </w:r>
      <w:r w:rsidRPr="00A30161">
        <w:rPr>
          <w:rFonts w:ascii="Arial" w:hAnsi="Arial" w:cs="Arial"/>
          <w:sz w:val="24"/>
          <w:szCs w:val="24"/>
        </w:rPr>
        <w:t xml:space="preserve">e use of a weapon at the time of the final incident tragically </w:t>
      </w:r>
      <w:r>
        <w:rPr>
          <w:rFonts w:ascii="Arial" w:hAnsi="Arial" w:cs="Arial"/>
          <w:sz w:val="24"/>
          <w:szCs w:val="24"/>
        </w:rPr>
        <w:t>resulted in the</w:t>
      </w:r>
      <w:r w:rsidRPr="00A30161">
        <w:rPr>
          <w:rFonts w:ascii="Arial" w:hAnsi="Arial" w:cs="Arial"/>
          <w:sz w:val="24"/>
          <w:szCs w:val="24"/>
        </w:rPr>
        <w:t xml:space="preserve"> death</w:t>
      </w:r>
      <w:r>
        <w:rPr>
          <w:rFonts w:ascii="Arial" w:hAnsi="Arial" w:cs="Arial"/>
          <w:sz w:val="24"/>
          <w:szCs w:val="24"/>
        </w:rPr>
        <w:t xml:space="preserve">. </w:t>
      </w:r>
    </w:p>
    <w:p w14:paraId="54E2841E" w14:textId="77777777" w:rsidR="009A35E5" w:rsidRPr="006940E6" w:rsidRDefault="009A35E5" w:rsidP="005309C4">
      <w:pPr>
        <w:spacing w:line="240" w:lineRule="auto"/>
        <w:rPr>
          <w:rFonts w:ascii="Arial" w:hAnsi="Arial" w:cs="Arial"/>
          <w:b/>
          <w:sz w:val="24"/>
          <w:szCs w:val="24"/>
        </w:rPr>
      </w:pPr>
    </w:p>
    <w:p w14:paraId="54E2841F" w14:textId="77777777" w:rsidR="009A35E5" w:rsidRPr="00A30161" w:rsidRDefault="009A35E5" w:rsidP="005309C4">
      <w:pPr>
        <w:numPr>
          <w:ilvl w:val="0"/>
          <w:numId w:val="1"/>
        </w:numPr>
        <w:spacing w:line="240" w:lineRule="auto"/>
        <w:rPr>
          <w:rFonts w:ascii="Arial" w:hAnsi="Arial" w:cs="Arial"/>
          <w:b/>
          <w:sz w:val="24"/>
          <w:szCs w:val="24"/>
        </w:rPr>
      </w:pPr>
      <w:r>
        <w:rPr>
          <w:rFonts w:ascii="Arial" w:hAnsi="Arial" w:cs="Arial"/>
          <w:b/>
          <w:sz w:val="24"/>
          <w:szCs w:val="24"/>
        </w:rPr>
        <w:t xml:space="preserve">Lessons Learned, </w:t>
      </w:r>
      <w:r w:rsidRPr="00A30161">
        <w:rPr>
          <w:rFonts w:ascii="Arial" w:hAnsi="Arial" w:cs="Arial"/>
          <w:b/>
          <w:sz w:val="24"/>
          <w:szCs w:val="24"/>
        </w:rPr>
        <w:t>Recommendations and Actions</w:t>
      </w:r>
    </w:p>
    <w:p w14:paraId="54E28420" w14:textId="77777777" w:rsidR="009A35E5" w:rsidRPr="00A30161" w:rsidRDefault="009A35E5" w:rsidP="005309C4">
      <w:pPr>
        <w:pStyle w:val="ListParagraph"/>
        <w:spacing w:after="0" w:line="240" w:lineRule="auto"/>
        <w:ind w:left="360"/>
        <w:rPr>
          <w:rFonts w:ascii="Arial" w:hAnsi="Arial" w:cs="Arial"/>
          <w:sz w:val="24"/>
          <w:szCs w:val="24"/>
        </w:rPr>
      </w:pPr>
      <w:r w:rsidRPr="00A30161">
        <w:rPr>
          <w:rFonts w:ascii="Arial" w:hAnsi="Arial" w:cs="Arial"/>
          <w:sz w:val="24"/>
          <w:szCs w:val="24"/>
        </w:rPr>
        <w:t>There are lessons to be learned from this death and these have informed a series of recommendations which focus on</w:t>
      </w:r>
      <w:r>
        <w:rPr>
          <w:rFonts w:ascii="Arial" w:hAnsi="Arial" w:cs="Arial"/>
          <w:sz w:val="24"/>
          <w:szCs w:val="24"/>
        </w:rPr>
        <w:t xml:space="preserve"> the need to</w:t>
      </w:r>
      <w:r w:rsidRPr="00A30161">
        <w:rPr>
          <w:rFonts w:ascii="Arial" w:hAnsi="Arial" w:cs="Arial"/>
          <w:sz w:val="24"/>
          <w:szCs w:val="24"/>
        </w:rPr>
        <w:t>:</w:t>
      </w:r>
    </w:p>
    <w:p w14:paraId="54E28421" w14:textId="77777777" w:rsidR="009A35E5" w:rsidRPr="00A30161" w:rsidRDefault="009A35E5" w:rsidP="005309C4">
      <w:pPr>
        <w:pStyle w:val="ListParagraph"/>
        <w:spacing w:after="0" w:line="240" w:lineRule="auto"/>
        <w:ind w:left="360"/>
        <w:rPr>
          <w:rFonts w:ascii="Arial" w:hAnsi="Arial" w:cs="Arial"/>
          <w:sz w:val="24"/>
          <w:szCs w:val="24"/>
        </w:rPr>
      </w:pPr>
    </w:p>
    <w:p w14:paraId="54E28422" w14:textId="77777777" w:rsidR="009A35E5" w:rsidRPr="00A30161" w:rsidRDefault="009A35E5" w:rsidP="005309C4">
      <w:pPr>
        <w:pStyle w:val="ListParagraph"/>
        <w:numPr>
          <w:ilvl w:val="0"/>
          <w:numId w:val="6"/>
        </w:numPr>
        <w:spacing w:after="0" w:line="240" w:lineRule="auto"/>
        <w:rPr>
          <w:rFonts w:ascii="Arial" w:hAnsi="Arial" w:cs="Arial"/>
          <w:sz w:val="24"/>
          <w:szCs w:val="24"/>
        </w:rPr>
      </w:pPr>
      <w:r w:rsidRPr="00A30161">
        <w:rPr>
          <w:rFonts w:ascii="Arial" w:hAnsi="Arial" w:cs="Arial"/>
          <w:sz w:val="24"/>
          <w:szCs w:val="24"/>
        </w:rPr>
        <w:t>Rais</w:t>
      </w:r>
      <w:r>
        <w:rPr>
          <w:rFonts w:ascii="Arial" w:hAnsi="Arial" w:cs="Arial"/>
          <w:sz w:val="24"/>
          <w:szCs w:val="24"/>
        </w:rPr>
        <w:t>e</w:t>
      </w:r>
      <w:r w:rsidRPr="00A30161">
        <w:rPr>
          <w:rFonts w:ascii="Arial" w:hAnsi="Arial" w:cs="Arial"/>
          <w:sz w:val="24"/>
          <w:szCs w:val="24"/>
        </w:rPr>
        <w:t xml:space="preserve"> awareness of domestic abuse with the public and workers particularly where it is linked to alcohol misuse</w:t>
      </w:r>
    </w:p>
    <w:p w14:paraId="54E28423" w14:textId="77777777" w:rsidR="009A35E5" w:rsidRPr="00A30161" w:rsidRDefault="009A35E5" w:rsidP="005309C4">
      <w:pPr>
        <w:pStyle w:val="ListParagraph"/>
        <w:numPr>
          <w:ilvl w:val="0"/>
          <w:numId w:val="6"/>
        </w:numPr>
        <w:spacing w:after="0" w:line="240" w:lineRule="auto"/>
        <w:rPr>
          <w:rFonts w:ascii="Arial" w:hAnsi="Arial" w:cs="Arial"/>
          <w:sz w:val="24"/>
          <w:szCs w:val="24"/>
        </w:rPr>
      </w:pPr>
      <w:r w:rsidRPr="00A30161">
        <w:rPr>
          <w:rFonts w:ascii="Arial" w:hAnsi="Arial" w:cs="Arial"/>
          <w:sz w:val="24"/>
          <w:szCs w:val="24"/>
        </w:rPr>
        <w:t>Improv</w:t>
      </w:r>
      <w:r>
        <w:rPr>
          <w:rFonts w:ascii="Arial" w:hAnsi="Arial" w:cs="Arial"/>
          <w:sz w:val="24"/>
          <w:szCs w:val="24"/>
        </w:rPr>
        <w:t>e</w:t>
      </w:r>
      <w:r w:rsidRPr="00A30161">
        <w:rPr>
          <w:rFonts w:ascii="Arial" w:hAnsi="Arial" w:cs="Arial"/>
          <w:sz w:val="24"/>
          <w:szCs w:val="24"/>
        </w:rPr>
        <w:t xml:space="preserve"> risk assessments and information recording particularly where there are dual allegations of abuse and/or alcohol is a factor</w:t>
      </w:r>
    </w:p>
    <w:p w14:paraId="54E28424" w14:textId="77777777" w:rsidR="009A35E5" w:rsidRPr="00A30161" w:rsidRDefault="009A35E5" w:rsidP="005309C4">
      <w:pPr>
        <w:pStyle w:val="ListParagraph"/>
        <w:numPr>
          <w:ilvl w:val="0"/>
          <w:numId w:val="6"/>
        </w:numPr>
        <w:spacing w:after="0" w:line="240" w:lineRule="auto"/>
        <w:rPr>
          <w:rFonts w:ascii="Arial" w:hAnsi="Arial" w:cs="Arial"/>
          <w:sz w:val="24"/>
          <w:szCs w:val="24"/>
        </w:rPr>
      </w:pPr>
      <w:r w:rsidRPr="00A30161">
        <w:rPr>
          <w:rFonts w:ascii="Arial" w:hAnsi="Arial" w:cs="Arial"/>
          <w:sz w:val="24"/>
          <w:szCs w:val="24"/>
        </w:rPr>
        <w:t>Improv</w:t>
      </w:r>
      <w:r>
        <w:rPr>
          <w:rFonts w:ascii="Arial" w:hAnsi="Arial" w:cs="Arial"/>
          <w:sz w:val="24"/>
          <w:szCs w:val="24"/>
        </w:rPr>
        <w:t>e</w:t>
      </w:r>
      <w:r w:rsidRPr="00A30161">
        <w:rPr>
          <w:rFonts w:ascii="Arial" w:hAnsi="Arial" w:cs="Arial"/>
          <w:sz w:val="24"/>
          <w:szCs w:val="24"/>
        </w:rPr>
        <w:t xml:space="preserve"> support for those who are in abusive relationships and </w:t>
      </w:r>
      <w:r>
        <w:rPr>
          <w:rFonts w:ascii="Arial" w:hAnsi="Arial" w:cs="Arial"/>
          <w:sz w:val="24"/>
          <w:szCs w:val="24"/>
        </w:rPr>
        <w:t xml:space="preserve">who </w:t>
      </w:r>
      <w:r w:rsidRPr="00A30161">
        <w:rPr>
          <w:rFonts w:ascii="Arial" w:hAnsi="Arial" w:cs="Arial"/>
          <w:sz w:val="24"/>
          <w:szCs w:val="24"/>
        </w:rPr>
        <w:t>also misuse alcohol.</w:t>
      </w:r>
    </w:p>
    <w:p w14:paraId="54E28425" w14:textId="77777777" w:rsidR="009A35E5" w:rsidRPr="00A30161" w:rsidRDefault="009A35E5" w:rsidP="005309C4">
      <w:pPr>
        <w:pStyle w:val="ListParagraph"/>
        <w:spacing w:line="240" w:lineRule="auto"/>
        <w:ind w:left="360"/>
        <w:rPr>
          <w:rFonts w:ascii="Arial" w:hAnsi="Arial" w:cs="Arial"/>
          <w:sz w:val="24"/>
          <w:szCs w:val="24"/>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4323"/>
        <w:gridCol w:w="4607"/>
      </w:tblGrid>
      <w:tr w:rsidR="009A35E5" w:rsidRPr="00821AEA" w14:paraId="54E28429" w14:textId="77777777" w:rsidTr="006C61BD">
        <w:trPr>
          <w:tblHeader/>
        </w:trPr>
        <w:tc>
          <w:tcPr>
            <w:tcW w:w="1419" w:type="dxa"/>
          </w:tcPr>
          <w:p w14:paraId="54E28426"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AGENCY</w:t>
            </w:r>
          </w:p>
        </w:tc>
        <w:tc>
          <w:tcPr>
            <w:tcW w:w="4323" w:type="dxa"/>
          </w:tcPr>
          <w:p w14:paraId="54E28427" w14:textId="77777777" w:rsidR="009A35E5" w:rsidRPr="00821AEA" w:rsidRDefault="009A35E5" w:rsidP="005309C4">
            <w:pPr>
              <w:spacing w:after="0" w:line="240" w:lineRule="auto"/>
              <w:rPr>
                <w:rFonts w:ascii="Arial" w:hAnsi="Arial" w:cs="Arial"/>
                <w:b/>
                <w:sz w:val="24"/>
                <w:szCs w:val="24"/>
              </w:rPr>
            </w:pPr>
            <w:r w:rsidRPr="00821AEA">
              <w:rPr>
                <w:rFonts w:ascii="Arial" w:hAnsi="Arial" w:cs="Arial"/>
                <w:b/>
                <w:sz w:val="24"/>
                <w:szCs w:val="24"/>
              </w:rPr>
              <w:t>RECOMMENDATION</w:t>
            </w:r>
          </w:p>
        </w:tc>
        <w:tc>
          <w:tcPr>
            <w:tcW w:w="4607" w:type="dxa"/>
          </w:tcPr>
          <w:p w14:paraId="54E28428" w14:textId="77777777" w:rsidR="009A35E5" w:rsidRPr="00821AEA" w:rsidRDefault="009A35E5" w:rsidP="005309C4">
            <w:pPr>
              <w:spacing w:after="0" w:line="240" w:lineRule="auto"/>
              <w:rPr>
                <w:rFonts w:ascii="Arial" w:hAnsi="Arial" w:cs="Arial"/>
                <w:b/>
                <w:sz w:val="24"/>
                <w:szCs w:val="24"/>
              </w:rPr>
            </w:pPr>
            <w:r w:rsidRPr="00821AEA">
              <w:rPr>
                <w:rFonts w:ascii="Arial" w:hAnsi="Arial" w:cs="Arial"/>
                <w:b/>
                <w:sz w:val="24"/>
                <w:szCs w:val="24"/>
              </w:rPr>
              <w:t>ACTION</w:t>
            </w:r>
          </w:p>
        </w:tc>
      </w:tr>
      <w:tr w:rsidR="009A35E5" w:rsidRPr="00821AEA" w14:paraId="54E28436" w14:textId="77777777" w:rsidTr="006C61BD">
        <w:tc>
          <w:tcPr>
            <w:tcW w:w="1419" w:type="dxa"/>
          </w:tcPr>
          <w:p w14:paraId="54E2842A"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Probation Trust</w:t>
            </w:r>
          </w:p>
        </w:tc>
        <w:tc>
          <w:tcPr>
            <w:tcW w:w="4323" w:type="dxa"/>
          </w:tcPr>
          <w:p w14:paraId="54E2842B"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Improv</w:t>
            </w:r>
            <w:r>
              <w:rPr>
                <w:rFonts w:ascii="Arial" w:hAnsi="Arial" w:cs="Arial"/>
                <w:sz w:val="24"/>
                <w:szCs w:val="24"/>
              </w:rPr>
              <w:t>e</w:t>
            </w:r>
            <w:r w:rsidRPr="00821AEA">
              <w:rPr>
                <w:rFonts w:ascii="Arial" w:hAnsi="Arial" w:cs="Arial"/>
                <w:sz w:val="24"/>
                <w:szCs w:val="24"/>
              </w:rPr>
              <w:t xml:space="preserve"> A&amp;S Probation risk assessment around DA</w:t>
            </w:r>
          </w:p>
        </w:tc>
        <w:tc>
          <w:tcPr>
            <w:tcW w:w="4607" w:type="dxa"/>
          </w:tcPr>
          <w:p w14:paraId="54E2842C"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 xml:space="preserve">Training for all OM around </w:t>
            </w:r>
            <w:proofErr w:type="spellStart"/>
            <w:r w:rsidRPr="00821AEA">
              <w:rPr>
                <w:rFonts w:ascii="Arial" w:hAnsi="Arial" w:cs="Arial"/>
                <w:sz w:val="24"/>
                <w:szCs w:val="24"/>
              </w:rPr>
              <w:t>Oasys</w:t>
            </w:r>
            <w:proofErr w:type="spellEnd"/>
            <w:r w:rsidRPr="00821AEA">
              <w:rPr>
                <w:rFonts w:ascii="Arial" w:hAnsi="Arial" w:cs="Arial"/>
                <w:sz w:val="24"/>
                <w:szCs w:val="24"/>
              </w:rPr>
              <w:t xml:space="preserve"> improving practice and professional judgement is in place and is mandatory training for PO’s and PSO’s</w:t>
            </w:r>
          </w:p>
          <w:p w14:paraId="54E2842D" w14:textId="77777777" w:rsidR="009A35E5" w:rsidRPr="00821AEA" w:rsidRDefault="009A35E5" w:rsidP="005309C4">
            <w:pPr>
              <w:spacing w:after="0" w:line="240" w:lineRule="auto"/>
              <w:rPr>
                <w:rFonts w:ascii="Arial" w:hAnsi="Arial" w:cs="Arial"/>
                <w:sz w:val="24"/>
                <w:szCs w:val="24"/>
              </w:rPr>
            </w:pPr>
          </w:p>
          <w:p w14:paraId="54E2842E" w14:textId="77777777" w:rsidR="009A35E5" w:rsidRPr="00821AEA" w:rsidRDefault="009A35E5" w:rsidP="005309C4">
            <w:pPr>
              <w:spacing w:after="0" w:line="240" w:lineRule="auto"/>
              <w:rPr>
                <w:rFonts w:ascii="Arial" w:hAnsi="Arial" w:cs="Arial"/>
                <w:sz w:val="24"/>
                <w:szCs w:val="24"/>
              </w:rPr>
            </w:pPr>
          </w:p>
          <w:p w14:paraId="54E2842F"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Probation Risk of Harm Audits</w:t>
            </w:r>
          </w:p>
          <w:p w14:paraId="54E28430" w14:textId="77777777" w:rsidR="009A35E5" w:rsidRPr="00821AEA" w:rsidRDefault="009A35E5" w:rsidP="005309C4">
            <w:pPr>
              <w:spacing w:after="0" w:line="240" w:lineRule="auto"/>
              <w:rPr>
                <w:rFonts w:ascii="Arial" w:hAnsi="Arial" w:cs="Arial"/>
                <w:sz w:val="24"/>
                <w:szCs w:val="24"/>
              </w:rPr>
            </w:pPr>
          </w:p>
          <w:p w14:paraId="54E28431" w14:textId="77777777" w:rsidR="009A35E5" w:rsidRPr="00821AEA" w:rsidRDefault="009A35E5" w:rsidP="005309C4">
            <w:pPr>
              <w:spacing w:after="0" w:line="240" w:lineRule="auto"/>
              <w:rPr>
                <w:rFonts w:ascii="Arial" w:hAnsi="Arial" w:cs="Arial"/>
                <w:sz w:val="24"/>
                <w:szCs w:val="24"/>
              </w:rPr>
            </w:pPr>
          </w:p>
          <w:p w14:paraId="54E28432" w14:textId="77777777" w:rsidR="009A35E5" w:rsidRPr="00821AEA" w:rsidRDefault="009A35E5" w:rsidP="005309C4">
            <w:pPr>
              <w:spacing w:after="0" w:line="240" w:lineRule="auto"/>
              <w:rPr>
                <w:rFonts w:ascii="Arial" w:hAnsi="Arial" w:cs="Arial"/>
                <w:sz w:val="24"/>
                <w:szCs w:val="24"/>
              </w:rPr>
            </w:pPr>
          </w:p>
          <w:p w14:paraId="54E28433" w14:textId="77777777" w:rsidR="009A35E5" w:rsidRPr="00821AEA" w:rsidRDefault="009A35E5" w:rsidP="005309C4">
            <w:pPr>
              <w:spacing w:after="0" w:line="240" w:lineRule="auto"/>
              <w:rPr>
                <w:rFonts w:ascii="Arial" w:hAnsi="Arial" w:cs="Arial"/>
                <w:sz w:val="24"/>
                <w:szCs w:val="24"/>
              </w:rPr>
            </w:pPr>
            <w:proofErr w:type="spellStart"/>
            <w:r w:rsidRPr="00821AEA">
              <w:rPr>
                <w:rFonts w:ascii="Arial" w:hAnsi="Arial" w:cs="Arial"/>
                <w:sz w:val="24"/>
                <w:szCs w:val="24"/>
              </w:rPr>
              <w:t>Oasys</w:t>
            </w:r>
            <w:proofErr w:type="spellEnd"/>
            <w:r w:rsidRPr="00821AEA">
              <w:rPr>
                <w:rFonts w:ascii="Arial" w:hAnsi="Arial" w:cs="Arial"/>
                <w:sz w:val="24"/>
                <w:szCs w:val="24"/>
              </w:rPr>
              <w:t xml:space="preserve"> QA – 4 cases for every OM Quality Assured each year</w:t>
            </w:r>
          </w:p>
          <w:p w14:paraId="54E28434" w14:textId="77777777" w:rsidR="009A35E5" w:rsidRPr="00821AEA" w:rsidRDefault="009A35E5" w:rsidP="005309C4">
            <w:pPr>
              <w:spacing w:after="0" w:line="240" w:lineRule="auto"/>
              <w:rPr>
                <w:rFonts w:ascii="Arial" w:hAnsi="Arial" w:cs="Arial"/>
                <w:sz w:val="24"/>
                <w:szCs w:val="24"/>
              </w:rPr>
            </w:pPr>
          </w:p>
          <w:p w14:paraId="54E28435" w14:textId="77777777" w:rsidR="009A35E5" w:rsidRPr="00821AEA" w:rsidRDefault="009A35E5" w:rsidP="005309C4">
            <w:pPr>
              <w:spacing w:after="0" w:line="240" w:lineRule="auto"/>
              <w:rPr>
                <w:rFonts w:ascii="Arial" w:hAnsi="Arial" w:cs="Arial"/>
                <w:sz w:val="24"/>
                <w:szCs w:val="24"/>
              </w:rPr>
            </w:pPr>
          </w:p>
        </w:tc>
      </w:tr>
      <w:tr w:rsidR="009A35E5" w:rsidRPr="00821AEA" w14:paraId="54E28442" w14:textId="77777777" w:rsidTr="006C61BD">
        <w:tc>
          <w:tcPr>
            <w:tcW w:w="1419" w:type="dxa"/>
          </w:tcPr>
          <w:p w14:paraId="54E28437"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lastRenderedPageBreak/>
              <w:t xml:space="preserve">CSP </w:t>
            </w:r>
          </w:p>
        </w:tc>
        <w:tc>
          <w:tcPr>
            <w:tcW w:w="4323" w:type="dxa"/>
          </w:tcPr>
          <w:p w14:paraId="54E28438"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Ensure that agencies work to address both DA and alcohol misuse when they occur together by:</w:t>
            </w:r>
          </w:p>
          <w:p w14:paraId="54E28439" w14:textId="77777777" w:rsidR="009A35E5" w:rsidRPr="00821AEA" w:rsidRDefault="009A35E5" w:rsidP="005309C4">
            <w:pPr>
              <w:pStyle w:val="ListParagraph"/>
              <w:numPr>
                <w:ilvl w:val="0"/>
                <w:numId w:val="9"/>
              </w:numPr>
              <w:spacing w:after="0" w:line="240" w:lineRule="auto"/>
              <w:contextualSpacing/>
              <w:rPr>
                <w:rFonts w:ascii="Arial" w:hAnsi="Arial" w:cs="Arial"/>
                <w:sz w:val="24"/>
                <w:szCs w:val="24"/>
              </w:rPr>
            </w:pPr>
            <w:r w:rsidRPr="00821AEA">
              <w:rPr>
                <w:rFonts w:ascii="Arial" w:hAnsi="Arial" w:cs="Arial"/>
                <w:sz w:val="24"/>
                <w:szCs w:val="24"/>
              </w:rPr>
              <w:t xml:space="preserve">Identifying and reducing risk in cases where there is both domestic abuse and alcohol misuse. </w:t>
            </w:r>
          </w:p>
          <w:p w14:paraId="54E2843A" w14:textId="77777777" w:rsidR="009A35E5" w:rsidRPr="00821AEA" w:rsidRDefault="009A35E5" w:rsidP="005309C4">
            <w:pPr>
              <w:pStyle w:val="ListParagraph"/>
              <w:numPr>
                <w:ilvl w:val="0"/>
                <w:numId w:val="9"/>
              </w:numPr>
              <w:spacing w:after="0" w:line="240" w:lineRule="auto"/>
              <w:contextualSpacing/>
              <w:rPr>
                <w:rFonts w:ascii="Arial" w:hAnsi="Arial" w:cs="Arial"/>
                <w:sz w:val="24"/>
                <w:szCs w:val="24"/>
              </w:rPr>
            </w:pPr>
            <w:r w:rsidRPr="00821AEA">
              <w:rPr>
                <w:rFonts w:ascii="Arial" w:hAnsi="Arial" w:cs="Arial"/>
                <w:sz w:val="24"/>
                <w:szCs w:val="24"/>
              </w:rPr>
              <w:t>Recognising the complexity of the situation and the fact that a victim may not be able to address both DA and alcohol or substance misuse at the same time.</w:t>
            </w:r>
          </w:p>
        </w:tc>
        <w:tc>
          <w:tcPr>
            <w:tcW w:w="4607" w:type="dxa"/>
          </w:tcPr>
          <w:p w14:paraId="54E2843B"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Encourage agencies to incorporate DA screening questions (using best practice from The Stella project) into their own risk assessment processes, starting with substance misuse, mental health and generic health support agencies. (where there is direct commissioning by the CSP a requirement for this to be added to the contract)</w:t>
            </w:r>
          </w:p>
          <w:p w14:paraId="54E2843C" w14:textId="77777777" w:rsidR="009A35E5" w:rsidRPr="00821AEA" w:rsidRDefault="009A35E5" w:rsidP="005309C4">
            <w:pPr>
              <w:spacing w:after="0" w:line="240" w:lineRule="auto"/>
              <w:rPr>
                <w:rFonts w:ascii="Arial" w:hAnsi="Arial" w:cs="Arial"/>
                <w:sz w:val="24"/>
                <w:szCs w:val="24"/>
              </w:rPr>
            </w:pPr>
          </w:p>
          <w:p w14:paraId="54E2843D"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Provide DA training focussed on alcohol misuse workers and health workers. Programme to include:</w:t>
            </w:r>
          </w:p>
          <w:p w14:paraId="54E2843E" w14:textId="77777777" w:rsidR="009A35E5" w:rsidRPr="00821AEA" w:rsidRDefault="009A35E5" w:rsidP="005309C4">
            <w:pPr>
              <w:numPr>
                <w:ilvl w:val="0"/>
                <w:numId w:val="7"/>
              </w:numPr>
              <w:spacing w:after="0" w:line="240" w:lineRule="auto"/>
              <w:rPr>
                <w:rFonts w:ascii="Arial" w:hAnsi="Arial" w:cs="Arial"/>
                <w:sz w:val="24"/>
                <w:szCs w:val="24"/>
              </w:rPr>
            </w:pPr>
            <w:r w:rsidRPr="00821AEA">
              <w:rPr>
                <w:rFonts w:ascii="Arial" w:hAnsi="Arial" w:cs="Arial"/>
                <w:sz w:val="24"/>
                <w:szCs w:val="24"/>
              </w:rPr>
              <w:t>Identifying DA</w:t>
            </w:r>
          </w:p>
          <w:p w14:paraId="54E2843F" w14:textId="77777777" w:rsidR="009A35E5" w:rsidRPr="00821AEA" w:rsidRDefault="009A35E5" w:rsidP="005309C4">
            <w:pPr>
              <w:numPr>
                <w:ilvl w:val="0"/>
                <w:numId w:val="7"/>
              </w:numPr>
              <w:spacing w:after="0" w:line="240" w:lineRule="auto"/>
              <w:rPr>
                <w:rFonts w:ascii="Arial" w:hAnsi="Arial" w:cs="Arial"/>
                <w:sz w:val="24"/>
                <w:szCs w:val="24"/>
              </w:rPr>
            </w:pPr>
            <w:r w:rsidRPr="00821AEA">
              <w:rPr>
                <w:rFonts w:ascii="Arial" w:hAnsi="Arial" w:cs="Arial"/>
                <w:sz w:val="24"/>
                <w:szCs w:val="24"/>
              </w:rPr>
              <w:t>Risk assessment for DA esp. where there is alcohol/substance misuse</w:t>
            </w:r>
          </w:p>
          <w:p w14:paraId="54E28440" w14:textId="77777777" w:rsidR="009A35E5" w:rsidRPr="00821AEA" w:rsidRDefault="009A35E5" w:rsidP="005309C4">
            <w:pPr>
              <w:numPr>
                <w:ilvl w:val="0"/>
                <w:numId w:val="7"/>
              </w:numPr>
              <w:spacing w:after="0" w:line="240" w:lineRule="auto"/>
              <w:rPr>
                <w:rFonts w:ascii="Arial" w:hAnsi="Arial" w:cs="Arial"/>
                <w:sz w:val="24"/>
                <w:szCs w:val="24"/>
              </w:rPr>
            </w:pPr>
            <w:r w:rsidRPr="00821AEA">
              <w:rPr>
                <w:rFonts w:ascii="Arial" w:hAnsi="Arial" w:cs="Arial"/>
                <w:sz w:val="24"/>
                <w:szCs w:val="24"/>
              </w:rPr>
              <w:t xml:space="preserve">Responding to </w:t>
            </w:r>
            <w:proofErr w:type="gramStart"/>
            <w:r w:rsidRPr="00821AEA">
              <w:rPr>
                <w:rFonts w:ascii="Arial" w:hAnsi="Arial" w:cs="Arial"/>
                <w:sz w:val="24"/>
                <w:szCs w:val="24"/>
              </w:rPr>
              <w:t>DA  including</w:t>
            </w:r>
            <w:proofErr w:type="gramEnd"/>
            <w:r w:rsidRPr="00821AEA">
              <w:rPr>
                <w:rFonts w:ascii="Arial" w:hAnsi="Arial" w:cs="Arial"/>
                <w:sz w:val="24"/>
                <w:szCs w:val="24"/>
              </w:rPr>
              <w:t xml:space="preserve"> -safety planning and referrals to MARAC and DA agencies</w:t>
            </w:r>
          </w:p>
          <w:p w14:paraId="54E28441" w14:textId="77777777" w:rsidR="009A35E5" w:rsidRPr="00821AEA" w:rsidRDefault="009A35E5" w:rsidP="005309C4">
            <w:pPr>
              <w:numPr>
                <w:ilvl w:val="0"/>
                <w:numId w:val="7"/>
              </w:numPr>
              <w:spacing w:after="0" w:line="240" w:lineRule="auto"/>
              <w:rPr>
                <w:rFonts w:ascii="Arial" w:hAnsi="Arial" w:cs="Arial"/>
                <w:sz w:val="24"/>
                <w:szCs w:val="24"/>
              </w:rPr>
            </w:pPr>
            <w:r w:rsidRPr="00821AEA">
              <w:rPr>
                <w:rFonts w:ascii="Arial" w:hAnsi="Arial" w:cs="Arial"/>
                <w:sz w:val="24"/>
                <w:szCs w:val="24"/>
              </w:rPr>
              <w:t>Working with perpetrators of DA</w:t>
            </w:r>
          </w:p>
        </w:tc>
      </w:tr>
      <w:tr w:rsidR="009A35E5" w:rsidRPr="00821AEA" w14:paraId="54E28448" w14:textId="77777777" w:rsidTr="006C61BD">
        <w:tc>
          <w:tcPr>
            <w:tcW w:w="1419" w:type="dxa"/>
          </w:tcPr>
          <w:p w14:paraId="54E28443" w14:textId="77777777" w:rsidR="009A35E5" w:rsidRPr="00821AEA" w:rsidRDefault="009A35E5" w:rsidP="005309C4">
            <w:pPr>
              <w:spacing w:after="0" w:line="240" w:lineRule="auto"/>
              <w:rPr>
                <w:rFonts w:ascii="Arial" w:hAnsi="Arial" w:cs="Arial"/>
                <w:sz w:val="24"/>
                <w:szCs w:val="24"/>
              </w:rPr>
            </w:pPr>
          </w:p>
        </w:tc>
        <w:tc>
          <w:tcPr>
            <w:tcW w:w="4323" w:type="dxa"/>
          </w:tcPr>
          <w:p w14:paraId="54E28444"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Ensure that, wherever possible, agencies use the RESPECT screening tool to identify primary perpetrator in cases of dual allegations</w:t>
            </w:r>
          </w:p>
        </w:tc>
        <w:tc>
          <w:tcPr>
            <w:tcW w:w="4607" w:type="dxa"/>
          </w:tcPr>
          <w:p w14:paraId="54E28445"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Add a requirement to use Respect screening tool to DA and substance misuse service contracts wherever possible.</w:t>
            </w:r>
          </w:p>
          <w:p w14:paraId="54E28446"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Provide multi-agency training and guidance on screening tool focussing on DA and substance misuse agencies, GPs and other health workers, probation, police</w:t>
            </w:r>
          </w:p>
          <w:p w14:paraId="54E28447" w14:textId="77777777" w:rsidR="009A35E5" w:rsidRPr="00821AEA" w:rsidRDefault="009A35E5" w:rsidP="005309C4">
            <w:pPr>
              <w:spacing w:after="0" w:line="240" w:lineRule="auto"/>
              <w:rPr>
                <w:rFonts w:ascii="Arial" w:hAnsi="Arial" w:cs="Arial"/>
                <w:sz w:val="24"/>
                <w:szCs w:val="24"/>
              </w:rPr>
            </w:pPr>
          </w:p>
        </w:tc>
      </w:tr>
      <w:tr w:rsidR="009A35E5" w:rsidRPr="00821AEA" w14:paraId="54E28458" w14:textId="77777777" w:rsidTr="006C61BD">
        <w:tc>
          <w:tcPr>
            <w:tcW w:w="1419" w:type="dxa"/>
          </w:tcPr>
          <w:p w14:paraId="54E28449" w14:textId="77777777" w:rsidR="009A35E5" w:rsidRPr="00821AEA" w:rsidRDefault="009A35E5" w:rsidP="005309C4">
            <w:pPr>
              <w:spacing w:after="0" w:line="240" w:lineRule="auto"/>
              <w:rPr>
                <w:rFonts w:ascii="Arial" w:hAnsi="Arial" w:cs="Arial"/>
                <w:sz w:val="24"/>
                <w:szCs w:val="24"/>
              </w:rPr>
            </w:pPr>
          </w:p>
        </w:tc>
        <w:tc>
          <w:tcPr>
            <w:tcW w:w="4323" w:type="dxa"/>
          </w:tcPr>
          <w:p w14:paraId="54E2844A"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 xml:space="preserve">Raise awareness of domestic </w:t>
            </w:r>
            <w:proofErr w:type="gramStart"/>
            <w:r w:rsidRPr="00821AEA">
              <w:rPr>
                <w:rFonts w:ascii="Arial" w:hAnsi="Arial" w:cs="Arial"/>
                <w:sz w:val="24"/>
                <w:szCs w:val="24"/>
              </w:rPr>
              <w:t>abuse  support</w:t>
            </w:r>
            <w:proofErr w:type="gramEnd"/>
            <w:r w:rsidRPr="00821AEA">
              <w:rPr>
                <w:rFonts w:ascii="Arial" w:hAnsi="Arial" w:cs="Arial"/>
                <w:sz w:val="24"/>
                <w:szCs w:val="24"/>
              </w:rPr>
              <w:t xml:space="preserve"> for people using alcohol and other substances through provision of information to the public</w:t>
            </w:r>
          </w:p>
          <w:p w14:paraId="54E2844B" w14:textId="77777777" w:rsidR="009A35E5" w:rsidRPr="00821AEA" w:rsidRDefault="009A35E5" w:rsidP="005309C4">
            <w:pPr>
              <w:spacing w:after="0" w:line="240" w:lineRule="auto"/>
              <w:rPr>
                <w:rFonts w:ascii="Arial" w:hAnsi="Arial" w:cs="Arial"/>
                <w:sz w:val="24"/>
                <w:szCs w:val="24"/>
              </w:rPr>
            </w:pPr>
          </w:p>
          <w:p w14:paraId="54E2844C" w14:textId="77777777" w:rsidR="009A35E5" w:rsidRPr="00821AEA" w:rsidRDefault="009A35E5" w:rsidP="005309C4">
            <w:pPr>
              <w:spacing w:after="0" w:line="240" w:lineRule="auto"/>
              <w:rPr>
                <w:rFonts w:ascii="Arial" w:hAnsi="Arial" w:cs="Arial"/>
                <w:sz w:val="24"/>
                <w:szCs w:val="24"/>
              </w:rPr>
            </w:pPr>
          </w:p>
          <w:p w14:paraId="54E2844D" w14:textId="77777777" w:rsidR="009A35E5" w:rsidRPr="00821AEA" w:rsidRDefault="009A35E5" w:rsidP="005309C4">
            <w:pPr>
              <w:spacing w:after="0" w:line="240" w:lineRule="auto"/>
              <w:rPr>
                <w:rFonts w:ascii="Arial" w:hAnsi="Arial" w:cs="Arial"/>
                <w:sz w:val="24"/>
                <w:szCs w:val="24"/>
              </w:rPr>
            </w:pPr>
          </w:p>
          <w:p w14:paraId="54E2844E" w14:textId="77777777" w:rsidR="009A35E5" w:rsidRPr="00821AEA" w:rsidRDefault="009A35E5" w:rsidP="005309C4">
            <w:pPr>
              <w:spacing w:after="0" w:line="240" w:lineRule="auto"/>
              <w:rPr>
                <w:rFonts w:ascii="Arial" w:hAnsi="Arial" w:cs="Arial"/>
                <w:sz w:val="24"/>
                <w:szCs w:val="24"/>
              </w:rPr>
            </w:pPr>
          </w:p>
          <w:p w14:paraId="54E2844F" w14:textId="77777777" w:rsidR="009A35E5" w:rsidRPr="00821AEA" w:rsidRDefault="009A35E5" w:rsidP="005309C4">
            <w:pPr>
              <w:spacing w:after="0" w:line="240" w:lineRule="auto"/>
              <w:rPr>
                <w:rFonts w:ascii="Arial" w:hAnsi="Arial" w:cs="Arial"/>
                <w:sz w:val="24"/>
                <w:szCs w:val="24"/>
              </w:rPr>
            </w:pPr>
          </w:p>
          <w:p w14:paraId="54E28450" w14:textId="77777777" w:rsidR="009A35E5" w:rsidRPr="00821AEA" w:rsidRDefault="009A35E5" w:rsidP="005309C4">
            <w:pPr>
              <w:spacing w:after="0" w:line="240" w:lineRule="auto"/>
              <w:rPr>
                <w:rFonts w:ascii="Arial" w:hAnsi="Arial" w:cs="Arial"/>
                <w:sz w:val="24"/>
                <w:szCs w:val="24"/>
              </w:rPr>
            </w:pPr>
          </w:p>
          <w:p w14:paraId="54E28451"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 xml:space="preserve">Raise awareness of domestic abuse support amongst </w:t>
            </w:r>
            <w:proofErr w:type="gramStart"/>
            <w:r w:rsidRPr="00821AEA">
              <w:rPr>
                <w:rFonts w:ascii="Arial" w:hAnsi="Arial" w:cs="Arial"/>
                <w:sz w:val="24"/>
                <w:szCs w:val="24"/>
              </w:rPr>
              <w:t>licensees,  other</w:t>
            </w:r>
            <w:proofErr w:type="gramEnd"/>
            <w:r w:rsidRPr="00821AEA">
              <w:rPr>
                <w:rFonts w:ascii="Arial" w:hAnsi="Arial" w:cs="Arial"/>
                <w:sz w:val="24"/>
                <w:szCs w:val="24"/>
              </w:rPr>
              <w:t xml:space="preserve"> </w:t>
            </w:r>
            <w:r w:rsidRPr="00821AEA">
              <w:rPr>
                <w:rFonts w:ascii="Arial" w:hAnsi="Arial" w:cs="Arial"/>
                <w:sz w:val="24"/>
                <w:szCs w:val="24"/>
              </w:rPr>
              <w:lastRenderedPageBreak/>
              <w:t>providers of alcohol and taxi firms</w:t>
            </w:r>
          </w:p>
          <w:p w14:paraId="54E28452" w14:textId="77777777" w:rsidR="009A35E5" w:rsidRPr="00821AEA" w:rsidRDefault="009A35E5" w:rsidP="005309C4">
            <w:pPr>
              <w:spacing w:after="0" w:line="240" w:lineRule="auto"/>
              <w:rPr>
                <w:rFonts w:ascii="Arial" w:hAnsi="Arial" w:cs="Arial"/>
                <w:sz w:val="24"/>
                <w:szCs w:val="24"/>
              </w:rPr>
            </w:pPr>
          </w:p>
        </w:tc>
        <w:tc>
          <w:tcPr>
            <w:tcW w:w="4607" w:type="dxa"/>
          </w:tcPr>
          <w:p w14:paraId="54E28453"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lastRenderedPageBreak/>
              <w:t xml:space="preserve">Provide information* on recognising DA, support available and safety </w:t>
            </w:r>
            <w:proofErr w:type="gramStart"/>
            <w:r w:rsidRPr="00821AEA">
              <w:rPr>
                <w:rFonts w:ascii="Arial" w:hAnsi="Arial" w:cs="Arial"/>
                <w:sz w:val="24"/>
                <w:szCs w:val="24"/>
              </w:rPr>
              <w:t>planning  for</w:t>
            </w:r>
            <w:proofErr w:type="gramEnd"/>
            <w:r w:rsidRPr="00821AEA">
              <w:rPr>
                <w:rFonts w:ascii="Arial" w:hAnsi="Arial" w:cs="Arial"/>
                <w:sz w:val="24"/>
                <w:szCs w:val="24"/>
              </w:rPr>
              <w:t xml:space="preserve"> display by substance misuse support agencies, pubs, bars and shops which sell alcohol   to be aimed at the public and making it clear that both men and women can be victims.</w:t>
            </w:r>
          </w:p>
          <w:p w14:paraId="54E28454"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 xml:space="preserve">* posters, leaflets, stickers for toilet doors, branded products etc </w:t>
            </w:r>
          </w:p>
          <w:p w14:paraId="54E28455" w14:textId="77777777" w:rsidR="009A35E5" w:rsidRPr="00821AEA" w:rsidRDefault="009A35E5" w:rsidP="005309C4">
            <w:pPr>
              <w:spacing w:after="0" w:line="240" w:lineRule="auto"/>
              <w:rPr>
                <w:rFonts w:ascii="Arial" w:hAnsi="Arial" w:cs="Arial"/>
                <w:sz w:val="24"/>
                <w:szCs w:val="24"/>
              </w:rPr>
            </w:pPr>
          </w:p>
          <w:p w14:paraId="54E28456" w14:textId="77777777" w:rsidR="009A35E5" w:rsidRPr="00821AEA" w:rsidRDefault="009A35E5" w:rsidP="005309C4">
            <w:pPr>
              <w:spacing w:after="0" w:line="240" w:lineRule="auto"/>
              <w:rPr>
                <w:rFonts w:ascii="Arial" w:hAnsi="Arial" w:cs="Arial"/>
                <w:sz w:val="24"/>
                <w:szCs w:val="24"/>
              </w:rPr>
            </w:pPr>
          </w:p>
          <w:p w14:paraId="54E28457"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 xml:space="preserve">Provide information and advice on </w:t>
            </w:r>
            <w:r w:rsidRPr="00821AEA">
              <w:rPr>
                <w:rFonts w:ascii="Arial" w:hAnsi="Arial" w:cs="Arial"/>
                <w:sz w:val="24"/>
                <w:szCs w:val="24"/>
              </w:rPr>
              <w:lastRenderedPageBreak/>
              <w:t>domestic abuse and sources of support to licensees and taxi firms through licensing department.</w:t>
            </w:r>
          </w:p>
        </w:tc>
      </w:tr>
      <w:tr w:rsidR="009A35E5" w:rsidRPr="00821AEA" w14:paraId="54E2845C" w14:textId="77777777" w:rsidTr="006C61BD">
        <w:tc>
          <w:tcPr>
            <w:tcW w:w="1419" w:type="dxa"/>
          </w:tcPr>
          <w:p w14:paraId="54E28459" w14:textId="77777777" w:rsidR="009A35E5" w:rsidRPr="00821AEA" w:rsidDel="00C61399" w:rsidRDefault="009A35E5" w:rsidP="005309C4">
            <w:pPr>
              <w:spacing w:after="0" w:line="240" w:lineRule="auto"/>
              <w:rPr>
                <w:rFonts w:ascii="Arial" w:hAnsi="Arial" w:cs="Arial"/>
                <w:sz w:val="24"/>
                <w:szCs w:val="24"/>
              </w:rPr>
            </w:pPr>
          </w:p>
        </w:tc>
        <w:tc>
          <w:tcPr>
            <w:tcW w:w="4323" w:type="dxa"/>
          </w:tcPr>
          <w:p w14:paraId="54E2845A" w14:textId="77777777" w:rsidR="009A35E5" w:rsidRPr="00821AEA" w:rsidRDefault="009A35E5" w:rsidP="005309C4">
            <w:pPr>
              <w:autoSpaceDE w:val="0"/>
              <w:autoSpaceDN w:val="0"/>
              <w:adjustRightInd w:val="0"/>
              <w:spacing w:after="0" w:line="240" w:lineRule="auto"/>
              <w:rPr>
                <w:rFonts w:ascii="Arial" w:hAnsi="Arial" w:cs="Arial"/>
                <w:sz w:val="24"/>
                <w:szCs w:val="24"/>
                <w:lang w:eastAsia="en-GB"/>
              </w:rPr>
            </w:pPr>
            <w:r w:rsidRPr="00821AEA">
              <w:rPr>
                <w:rFonts w:ascii="Arial" w:hAnsi="Arial" w:cs="Arial"/>
                <w:sz w:val="24"/>
                <w:szCs w:val="24"/>
                <w:lang w:eastAsia="en-GB"/>
              </w:rPr>
              <w:t>Ensure that providers of alcohol support services are sensitive to issues around domestic abuse</w:t>
            </w:r>
          </w:p>
        </w:tc>
        <w:tc>
          <w:tcPr>
            <w:tcW w:w="4607" w:type="dxa"/>
          </w:tcPr>
          <w:p w14:paraId="54E2845B"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Consult with survivors of domestic abuse and providers to determine what services are needed (</w:t>
            </w:r>
            <w:proofErr w:type="spellStart"/>
            <w:r w:rsidRPr="00821AEA">
              <w:rPr>
                <w:rFonts w:ascii="Arial" w:hAnsi="Arial" w:cs="Arial"/>
                <w:sz w:val="24"/>
                <w:szCs w:val="24"/>
              </w:rPr>
              <w:t>eg</w:t>
            </w:r>
            <w:proofErr w:type="spellEnd"/>
            <w:r w:rsidRPr="00821AEA">
              <w:rPr>
                <w:rFonts w:ascii="Arial" w:hAnsi="Arial" w:cs="Arial"/>
                <w:sz w:val="24"/>
                <w:szCs w:val="24"/>
              </w:rPr>
              <w:t>, single sex groups?)</w:t>
            </w:r>
          </w:p>
        </w:tc>
      </w:tr>
      <w:tr w:rsidR="009A35E5" w:rsidRPr="00821AEA" w14:paraId="54E28460" w14:textId="77777777" w:rsidTr="006C61BD">
        <w:tc>
          <w:tcPr>
            <w:tcW w:w="1419" w:type="dxa"/>
          </w:tcPr>
          <w:p w14:paraId="54E2845D" w14:textId="77777777" w:rsidR="009A35E5" w:rsidRPr="00821AEA" w:rsidRDefault="009A35E5" w:rsidP="005309C4">
            <w:pPr>
              <w:spacing w:after="0" w:line="240" w:lineRule="auto"/>
              <w:rPr>
                <w:rFonts w:ascii="Arial" w:hAnsi="Arial" w:cs="Arial"/>
                <w:sz w:val="24"/>
                <w:szCs w:val="24"/>
              </w:rPr>
            </w:pPr>
          </w:p>
        </w:tc>
        <w:tc>
          <w:tcPr>
            <w:tcW w:w="4323" w:type="dxa"/>
          </w:tcPr>
          <w:p w14:paraId="54E2845E"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Ensure that people renting accommodation in isolated areas, particularly static caravan sites, are provided with information on sources of support and local networks</w:t>
            </w:r>
          </w:p>
        </w:tc>
        <w:tc>
          <w:tcPr>
            <w:tcW w:w="4607" w:type="dxa"/>
          </w:tcPr>
          <w:p w14:paraId="54E2845F"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Adapt travellers’ leaflet for static home sites and provide to landlords</w:t>
            </w:r>
          </w:p>
        </w:tc>
      </w:tr>
      <w:tr w:rsidR="009A35E5" w:rsidRPr="00821AEA" w14:paraId="54E28467" w14:textId="77777777" w:rsidTr="006C61BD">
        <w:tc>
          <w:tcPr>
            <w:tcW w:w="1419" w:type="dxa"/>
          </w:tcPr>
          <w:p w14:paraId="54E28461" w14:textId="77777777" w:rsidR="009A35E5" w:rsidRPr="00821AEA" w:rsidRDefault="009A35E5" w:rsidP="005309C4">
            <w:pPr>
              <w:spacing w:after="0" w:line="240" w:lineRule="auto"/>
              <w:rPr>
                <w:rFonts w:ascii="Arial" w:hAnsi="Arial" w:cs="Arial"/>
                <w:sz w:val="24"/>
                <w:szCs w:val="24"/>
              </w:rPr>
            </w:pPr>
          </w:p>
        </w:tc>
        <w:tc>
          <w:tcPr>
            <w:tcW w:w="4323" w:type="dxa"/>
          </w:tcPr>
          <w:p w14:paraId="54E28462" w14:textId="77777777" w:rsidR="009A35E5" w:rsidRPr="00821AEA" w:rsidRDefault="009A35E5" w:rsidP="005309C4">
            <w:pPr>
              <w:spacing w:after="0" w:line="240" w:lineRule="auto"/>
              <w:rPr>
                <w:rFonts w:ascii="Arial" w:hAnsi="Arial" w:cs="Arial"/>
                <w:sz w:val="24"/>
                <w:szCs w:val="24"/>
              </w:rPr>
            </w:pPr>
          </w:p>
          <w:p w14:paraId="54E28463"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Provide support for people who have fled domestic abuse to address their alcohol use</w:t>
            </w:r>
          </w:p>
        </w:tc>
        <w:tc>
          <w:tcPr>
            <w:tcW w:w="4607" w:type="dxa"/>
          </w:tcPr>
          <w:p w14:paraId="54E28464" w14:textId="77777777" w:rsidR="009A35E5" w:rsidRPr="00821AEA" w:rsidRDefault="009A35E5" w:rsidP="005309C4">
            <w:pPr>
              <w:spacing w:before="240" w:after="0" w:line="240" w:lineRule="auto"/>
              <w:rPr>
                <w:rFonts w:ascii="Arial" w:hAnsi="Arial" w:cs="Arial"/>
                <w:sz w:val="24"/>
                <w:szCs w:val="24"/>
              </w:rPr>
            </w:pPr>
            <w:r w:rsidRPr="00821AEA">
              <w:rPr>
                <w:rFonts w:ascii="Arial" w:hAnsi="Arial" w:cs="Arial"/>
                <w:sz w:val="24"/>
                <w:szCs w:val="24"/>
              </w:rPr>
              <w:t xml:space="preserve">Work with </w:t>
            </w:r>
            <w:proofErr w:type="gramStart"/>
            <w:r w:rsidRPr="00821AEA">
              <w:rPr>
                <w:rFonts w:ascii="Arial" w:hAnsi="Arial" w:cs="Arial"/>
                <w:sz w:val="24"/>
                <w:szCs w:val="24"/>
              </w:rPr>
              <w:t>providers  to</w:t>
            </w:r>
            <w:proofErr w:type="gramEnd"/>
            <w:r w:rsidRPr="00821AEA">
              <w:rPr>
                <w:rFonts w:ascii="Arial" w:hAnsi="Arial" w:cs="Arial"/>
                <w:sz w:val="24"/>
                <w:szCs w:val="24"/>
              </w:rPr>
              <w:t xml:space="preserve"> incorporate addressing alcohol/substance misuse in their survivors’ recovery programmes </w:t>
            </w:r>
          </w:p>
          <w:p w14:paraId="54E28465" w14:textId="77777777" w:rsidR="009A35E5" w:rsidRPr="00821AEA" w:rsidRDefault="009A35E5" w:rsidP="005309C4">
            <w:pPr>
              <w:spacing w:after="0" w:line="240" w:lineRule="auto"/>
              <w:rPr>
                <w:rFonts w:ascii="Arial" w:hAnsi="Arial" w:cs="Arial"/>
                <w:sz w:val="24"/>
                <w:szCs w:val="24"/>
              </w:rPr>
            </w:pPr>
          </w:p>
          <w:p w14:paraId="54E28466"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Work with drug and alcohol support providers to incorporate addressing relationship issues in their recovery work</w:t>
            </w:r>
          </w:p>
        </w:tc>
      </w:tr>
      <w:tr w:rsidR="009A35E5" w:rsidRPr="00821AEA" w14:paraId="54E2846E" w14:textId="77777777" w:rsidTr="006C61BD">
        <w:tc>
          <w:tcPr>
            <w:tcW w:w="1419" w:type="dxa"/>
          </w:tcPr>
          <w:p w14:paraId="54E28468" w14:textId="77777777" w:rsidR="009A35E5" w:rsidRPr="00821AEA" w:rsidRDefault="009A35E5" w:rsidP="005309C4">
            <w:pPr>
              <w:spacing w:after="0" w:line="240" w:lineRule="auto"/>
              <w:rPr>
                <w:rFonts w:ascii="Arial" w:hAnsi="Arial" w:cs="Arial"/>
                <w:sz w:val="24"/>
                <w:szCs w:val="24"/>
              </w:rPr>
            </w:pPr>
          </w:p>
        </w:tc>
        <w:tc>
          <w:tcPr>
            <w:tcW w:w="4323" w:type="dxa"/>
          </w:tcPr>
          <w:p w14:paraId="54E28469"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Ensure that GPs have information on domestic abuse support services, including recovery programmes to provide to patients, particularly those with alcohol issues</w:t>
            </w:r>
          </w:p>
        </w:tc>
        <w:tc>
          <w:tcPr>
            <w:tcW w:w="4607" w:type="dxa"/>
          </w:tcPr>
          <w:p w14:paraId="54E2846A" w14:textId="77777777" w:rsidR="009A35E5" w:rsidRPr="00821AEA" w:rsidRDefault="009A35E5" w:rsidP="005309C4">
            <w:pPr>
              <w:spacing w:before="240" w:after="0" w:line="240" w:lineRule="auto"/>
              <w:rPr>
                <w:rFonts w:ascii="Arial" w:hAnsi="Arial" w:cs="Arial"/>
                <w:sz w:val="24"/>
                <w:szCs w:val="24"/>
              </w:rPr>
            </w:pPr>
            <w:r w:rsidRPr="00821AEA">
              <w:rPr>
                <w:rFonts w:ascii="Arial" w:hAnsi="Arial" w:cs="Arial"/>
                <w:sz w:val="24"/>
                <w:szCs w:val="24"/>
              </w:rPr>
              <w:t>North Somerset: targeted information on Pattern Changing programme and the links to alcohol misuse to all GPs and health providers</w:t>
            </w:r>
          </w:p>
          <w:p w14:paraId="54E2846B" w14:textId="77777777" w:rsidR="009A35E5" w:rsidRPr="00821AEA" w:rsidRDefault="009A35E5" w:rsidP="005309C4">
            <w:pPr>
              <w:spacing w:before="240" w:after="0" w:line="240" w:lineRule="auto"/>
              <w:rPr>
                <w:rFonts w:ascii="Arial" w:hAnsi="Arial" w:cs="Arial"/>
                <w:sz w:val="24"/>
                <w:szCs w:val="24"/>
              </w:rPr>
            </w:pPr>
          </w:p>
          <w:p w14:paraId="54E2846C" w14:textId="77777777" w:rsidR="009A35E5" w:rsidRPr="00821AEA" w:rsidRDefault="009A35E5" w:rsidP="005309C4">
            <w:pPr>
              <w:spacing w:before="240" w:after="0" w:line="240" w:lineRule="auto"/>
              <w:rPr>
                <w:rFonts w:ascii="Arial" w:hAnsi="Arial" w:cs="Arial"/>
                <w:sz w:val="24"/>
                <w:szCs w:val="24"/>
              </w:rPr>
            </w:pPr>
            <w:r w:rsidRPr="00821AEA">
              <w:rPr>
                <w:rFonts w:ascii="Arial" w:hAnsi="Arial" w:cs="Arial"/>
                <w:sz w:val="24"/>
                <w:szCs w:val="24"/>
              </w:rPr>
              <w:t>Ensuring that referral forms and information are up to date on the care pathways website access</w:t>
            </w:r>
            <w:r>
              <w:rPr>
                <w:rFonts w:ascii="Arial" w:hAnsi="Arial" w:cs="Arial"/>
                <w:sz w:val="24"/>
                <w:szCs w:val="24"/>
              </w:rPr>
              <w:t>ed</w:t>
            </w:r>
            <w:r w:rsidRPr="00821AEA">
              <w:rPr>
                <w:rFonts w:ascii="Arial" w:hAnsi="Arial" w:cs="Arial"/>
                <w:sz w:val="24"/>
                <w:szCs w:val="24"/>
              </w:rPr>
              <w:t xml:space="preserve"> by GPs</w:t>
            </w:r>
          </w:p>
          <w:p w14:paraId="54E2846D" w14:textId="77777777" w:rsidR="009A35E5" w:rsidRPr="00821AEA" w:rsidRDefault="009A35E5" w:rsidP="005309C4">
            <w:pPr>
              <w:spacing w:before="240" w:after="0" w:line="240" w:lineRule="auto"/>
              <w:rPr>
                <w:rFonts w:ascii="Arial" w:hAnsi="Arial" w:cs="Arial"/>
                <w:sz w:val="24"/>
                <w:szCs w:val="24"/>
              </w:rPr>
            </w:pPr>
          </w:p>
        </w:tc>
      </w:tr>
      <w:tr w:rsidR="009A35E5" w:rsidRPr="00821AEA" w14:paraId="54E28476" w14:textId="77777777" w:rsidTr="006C61BD">
        <w:tc>
          <w:tcPr>
            <w:tcW w:w="1419" w:type="dxa"/>
          </w:tcPr>
          <w:p w14:paraId="54E2846F" w14:textId="77777777" w:rsidR="009A35E5" w:rsidRPr="00821AEA" w:rsidRDefault="009A35E5" w:rsidP="005309C4">
            <w:pPr>
              <w:spacing w:after="0" w:line="240" w:lineRule="auto"/>
              <w:rPr>
                <w:rFonts w:ascii="Arial" w:hAnsi="Arial" w:cs="Arial"/>
                <w:sz w:val="24"/>
                <w:szCs w:val="24"/>
              </w:rPr>
            </w:pPr>
          </w:p>
        </w:tc>
        <w:tc>
          <w:tcPr>
            <w:tcW w:w="4323" w:type="dxa"/>
          </w:tcPr>
          <w:p w14:paraId="54E28470"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 xml:space="preserve">Raise awareness of the wider definition of DA and that it </w:t>
            </w:r>
            <w:proofErr w:type="gramStart"/>
            <w:r w:rsidRPr="00821AEA">
              <w:rPr>
                <w:rFonts w:ascii="Arial" w:hAnsi="Arial" w:cs="Arial"/>
                <w:sz w:val="24"/>
                <w:szCs w:val="24"/>
              </w:rPr>
              <w:t>can  be</w:t>
            </w:r>
            <w:proofErr w:type="gramEnd"/>
            <w:r w:rsidRPr="00821AEA">
              <w:rPr>
                <w:rFonts w:ascii="Arial" w:hAnsi="Arial" w:cs="Arial"/>
                <w:sz w:val="24"/>
                <w:szCs w:val="24"/>
              </w:rPr>
              <w:t xml:space="preserve"> experienced by other family </w:t>
            </w:r>
            <w:r>
              <w:rPr>
                <w:rFonts w:ascii="Arial" w:hAnsi="Arial" w:cs="Arial"/>
                <w:sz w:val="24"/>
                <w:szCs w:val="24"/>
              </w:rPr>
              <w:t xml:space="preserve">members </w:t>
            </w:r>
            <w:r w:rsidRPr="00821AEA">
              <w:rPr>
                <w:rFonts w:ascii="Arial" w:hAnsi="Arial" w:cs="Arial"/>
                <w:sz w:val="24"/>
                <w:szCs w:val="24"/>
              </w:rPr>
              <w:t>including parents</w:t>
            </w:r>
          </w:p>
        </w:tc>
        <w:tc>
          <w:tcPr>
            <w:tcW w:w="4607" w:type="dxa"/>
          </w:tcPr>
          <w:p w14:paraId="54E28471"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Awareness campaigns on abuse of parents and family members to include:</w:t>
            </w:r>
          </w:p>
          <w:p w14:paraId="54E28472" w14:textId="77777777" w:rsidR="009A35E5" w:rsidRPr="00821AEA" w:rsidRDefault="009A35E5" w:rsidP="005309C4">
            <w:pPr>
              <w:numPr>
                <w:ilvl w:val="0"/>
                <w:numId w:val="8"/>
              </w:numPr>
              <w:spacing w:after="0" w:line="240" w:lineRule="auto"/>
              <w:rPr>
                <w:rFonts w:ascii="Arial" w:hAnsi="Arial" w:cs="Arial"/>
                <w:sz w:val="24"/>
                <w:szCs w:val="24"/>
              </w:rPr>
            </w:pPr>
            <w:r w:rsidRPr="00821AEA">
              <w:rPr>
                <w:rFonts w:ascii="Arial" w:hAnsi="Arial" w:cs="Arial"/>
                <w:sz w:val="24"/>
                <w:szCs w:val="24"/>
              </w:rPr>
              <w:t>Press releases</w:t>
            </w:r>
          </w:p>
          <w:p w14:paraId="54E28473" w14:textId="77777777" w:rsidR="009A35E5" w:rsidRPr="00821AEA" w:rsidRDefault="009A35E5" w:rsidP="005309C4">
            <w:pPr>
              <w:numPr>
                <w:ilvl w:val="0"/>
                <w:numId w:val="8"/>
              </w:numPr>
              <w:spacing w:after="0" w:line="240" w:lineRule="auto"/>
              <w:rPr>
                <w:rFonts w:ascii="Arial" w:hAnsi="Arial" w:cs="Arial"/>
                <w:sz w:val="24"/>
                <w:szCs w:val="24"/>
              </w:rPr>
            </w:pPr>
            <w:r w:rsidRPr="00821AEA">
              <w:rPr>
                <w:rFonts w:ascii="Arial" w:hAnsi="Arial" w:cs="Arial"/>
                <w:sz w:val="24"/>
                <w:szCs w:val="24"/>
              </w:rPr>
              <w:t>Posters</w:t>
            </w:r>
          </w:p>
          <w:p w14:paraId="54E28474" w14:textId="77777777" w:rsidR="009A35E5" w:rsidRPr="00821AEA" w:rsidRDefault="009A35E5" w:rsidP="005309C4">
            <w:pPr>
              <w:numPr>
                <w:ilvl w:val="0"/>
                <w:numId w:val="8"/>
              </w:numPr>
              <w:spacing w:after="0" w:line="240" w:lineRule="auto"/>
              <w:rPr>
                <w:rFonts w:ascii="Arial" w:hAnsi="Arial" w:cs="Arial"/>
                <w:sz w:val="24"/>
                <w:szCs w:val="24"/>
              </w:rPr>
            </w:pPr>
            <w:r w:rsidRPr="00821AEA">
              <w:rPr>
                <w:rFonts w:ascii="Arial" w:hAnsi="Arial" w:cs="Arial"/>
                <w:sz w:val="24"/>
                <w:szCs w:val="24"/>
              </w:rPr>
              <w:t xml:space="preserve">Articles </w:t>
            </w:r>
            <w:r>
              <w:rPr>
                <w:rFonts w:ascii="Arial" w:hAnsi="Arial" w:cs="Arial"/>
                <w:sz w:val="24"/>
                <w:szCs w:val="24"/>
              </w:rPr>
              <w:t>in</w:t>
            </w:r>
            <w:r w:rsidRPr="00821AEA">
              <w:rPr>
                <w:rFonts w:ascii="Arial" w:hAnsi="Arial" w:cs="Arial"/>
                <w:sz w:val="24"/>
                <w:szCs w:val="24"/>
              </w:rPr>
              <w:t xml:space="preserve"> council’s own publications</w:t>
            </w:r>
          </w:p>
          <w:p w14:paraId="54E28475" w14:textId="77777777" w:rsidR="009A35E5" w:rsidRPr="00821AEA" w:rsidRDefault="009A35E5" w:rsidP="005309C4">
            <w:pPr>
              <w:numPr>
                <w:ilvl w:val="0"/>
                <w:numId w:val="8"/>
              </w:numPr>
              <w:spacing w:after="0" w:line="240" w:lineRule="auto"/>
              <w:rPr>
                <w:rFonts w:ascii="Arial" w:hAnsi="Arial" w:cs="Arial"/>
                <w:sz w:val="24"/>
                <w:szCs w:val="24"/>
              </w:rPr>
            </w:pPr>
            <w:r w:rsidRPr="00821AEA">
              <w:rPr>
                <w:rFonts w:ascii="Arial" w:hAnsi="Arial" w:cs="Arial"/>
                <w:sz w:val="24"/>
                <w:szCs w:val="24"/>
              </w:rPr>
              <w:t>Guidance to staff who have contact with people reporting DA</w:t>
            </w:r>
          </w:p>
        </w:tc>
      </w:tr>
      <w:tr w:rsidR="009A35E5" w:rsidRPr="00821AEA" w14:paraId="54E2847D" w14:textId="77777777" w:rsidTr="006C61BD">
        <w:tc>
          <w:tcPr>
            <w:tcW w:w="1419" w:type="dxa"/>
          </w:tcPr>
          <w:p w14:paraId="54E28477" w14:textId="77777777" w:rsidR="009A35E5" w:rsidRPr="00821AEA" w:rsidRDefault="009A35E5" w:rsidP="005309C4">
            <w:pPr>
              <w:spacing w:after="0" w:line="240" w:lineRule="auto"/>
              <w:rPr>
                <w:rFonts w:ascii="Arial" w:hAnsi="Arial" w:cs="Arial"/>
                <w:sz w:val="24"/>
                <w:szCs w:val="24"/>
              </w:rPr>
            </w:pPr>
          </w:p>
        </w:tc>
        <w:tc>
          <w:tcPr>
            <w:tcW w:w="4323" w:type="dxa"/>
          </w:tcPr>
          <w:p w14:paraId="54E28478" w14:textId="77777777" w:rsidR="009A35E5" w:rsidRPr="00821AEA" w:rsidRDefault="009A35E5" w:rsidP="005309C4">
            <w:pPr>
              <w:autoSpaceDE w:val="0"/>
              <w:autoSpaceDN w:val="0"/>
              <w:adjustRightInd w:val="0"/>
              <w:spacing w:after="0" w:line="240" w:lineRule="auto"/>
              <w:rPr>
                <w:rFonts w:ascii="Arial" w:hAnsi="Arial" w:cs="Arial"/>
                <w:sz w:val="24"/>
                <w:szCs w:val="24"/>
                <w:lang w:eastAsia="en-GB"/>
              </w:rPr>
            </w:pPr>
            <w:r w:rsidRPr="00821AEA">
              <w:rPr>
                <w:rFonts w:ascii="Arial" w:hAnsi="Arial" w:cs="Arial"/>
                <w:sz w:val="24"/>
                <w:szCs w:val="24"/>
                <w:lang w:eastAsia="en-GB"/>
              </w:rPr>
              <w:t xml:space="preserve">Ensure that police and </w:t>
            </w:r>
            <w:proofErr w:type="gramStart"/>
            <w:r w:rsidRPr="00821AEA">
              <w:rPr>
                <w:rFonts w:ascii="Arial" w:hAnsi="Arial" w:cs="Arial"/>
                <w:sz w:val="24"/>
                <w:szCs w:val="24"/>
                <w:lang w:eastAsia="en-GB"/>
              </w:rPr>
              <w:t>court based</w:t>
            </w:r>
            <w:proofErr w:type="gramEnd"/>
            <w:r w:rsidRPr="00821AEA">
              <w:rPr>
                <w:rFonts w:ascii="Arial" w:hAnsi="Arial" w:cs="Arial"/>
                <w:sz w:val="24"/>
                <w:szCs w:val="24"/>
                <w:lang w:eastAsia="en-GB"/>
              </w:rPr>
              <w:t xml:space="preserve"> substance misuse workers always properly acknowledge record and act upon a DA disclosure from either a victim or perpetrator to ensur</w:t>
            </w:r>
            <w:r>
              <w:rPr>
                <w:rFonts w:ascii="Arial" w:hAnsi="Arial" w:cs="Arial"/>
                <w:sz w:val="24"/>
                <w:szCs w:val="24"/>
                <w:lang w:eastAsia="en-GB"/>
              </w:rPr>
              <w:t>e</w:t>
            </w:r>
            <w:r w:rsidRPr="00821AEA">
              <w:rPr>
                <w:rFonts w:ascii="Arial" w:hAnsi="Arial" w:cs="Arial"/>
                <w:sz w:val="24"/>
                <w:szCs w:val="24"/>
                <w:lang w:eastAsia="en-GB"/>
              </w:rPr>
              <w:t xml:space="preserve"> the individual is given information about support services.</w:t>
            </w:r>
          </w:p>
          <w:p w14:paraId="54E28479" w14:textId="77777777" w:rsidR="009A35E5" w:rsidRPr="00821AEA" w:rsidRDefault="009A35E5" w:rsidP="005309C4">
            <w:pPr>
              <w:spacing w:after="0" w:line="240" w:lineRule="auto"/>
              <w:rPr>
                <w:rFonts w:ascii="Arial" w:hAnsi="Arial" w:cs="Arial"/>
                <w:sz w:val="24"/>
                <w:szCs w:val="24"/>
              </w:rPr>
            </w:pPr>
          </w:p>
        </w:tc>
        <w:tc>
          <w:tcPr>
            <w:tcW w:w="4607" w:type="dxa"/>
          </w:tcPr>
          <w:p w14:paraId="54E2847A"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 xml:space="preserve">Training and information on DA </w:t>
            </w:r>
            <w:proofErr w:type="gramStart"/>
            <w:r w:rsidRPr="00821AEA">
              <w:rPr>
                <w:rFonts w:ascii="Arial" w:hAnsi="Arial" w:cs="Arial"/>
                <w:sz w:val="24"/>
                <w:szCs w:val="24"/>
              </w:rPr>
              <w:t>services  to</w:t>
            </w:r>
            <w:proofErr w:type="gramEnd"/>
            <w:r w:rsidRPr="00821AEA">
              <w:rPr>
                <w:rFonts w:ascii="Arial" w:hAnsi="Arial" w:cs="Arial"/>
                <w:sz w:val="24"/>
                <w:szCs w:val="24"/>
              </w:rPr>
              <w:t xml:space="preserve"> arrest referral scheme workers</w:t>
            </w:r>
          </w:p>
          <w:p w14:paraId="54E2847B" w14:textId="77777777" w:rsidR="009A35E5" w:rsidRPr="00821AEA" w:rsidRDefault="009A35E5" w:rsidP="005309C4">
            <w:pPr>
              <w:spacing w:after="0" w:line="240" w:lineRule="auto"/>
              <w:rPr>
                <w:rFonts w:ascii="Arial" w:hAnsi="Arial" w:cs="Arial"/>
                <w:sz w:val="24"/>
                <w:szCs w:val="24"/>
              </w:rPr>
            </w:pPr>
          </w:p>
          <w:p w14:paraId="54E2847C"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Provision of information on DA support services in custody suites</w:t>
            </w:r>
          </w:p>
        </w:tc>
      </w:tr>
      <w:tr w:rsidR="009A35E5" w:rsidRPr="00821AEA" w14:paraId="54E28481" w14:textId="77777777" w:rsidTr="006C61BD">
        <w:tc>
          <w:tcPr>
            <w:tcW w:w="1419" w:type="dxa"/>
          </w:tcPr>
          <w:p w14:paraId="54E2847E"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YOT</w:t>
            </w:r>
          </w:p>
        </w:tc>
        <w:tc>
          <w:tcPr>
            <w:tcW w:w="4323" w:type="dxa"/>
          </w:tcPr>
          <w:p w14:paraId="54E2847F"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 xml:space="preserve">Ensure that alcohol related problems </w:t>
            </w:r>
            <w:r w:rsidRPr="00821AEA">
              <w:rPr>
                <w:rFonts w:ascii="Arial" w:hAnsi="Arial" w:cs="Arial"/>
                <w:sz w:val="24"/>
                <w:szCs w:val="24"/>
              </w:rPr>
              <w:lastRenderedPageBreak/>
              <w:t>among young people are being sufficiently addressed.</w:t>
            </w:r>
          </w:p>
        </w:tc>
        <w:tc>
          <w:tcPr>
            <w:tcW w:w="4607" w:type="dxa"/>
          </w:tcPr>
          <w:p w14:paraId="54E28480"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lastRenderedPageBreak/>
              <w:t xml:space="preserve"> Use the young people’s substance </w:t>
            </w:r>
            <w:r w:rsidRPr="00821AEA">
              <w:rPr>
                <w:rFonts w:ascii="Arial" w:hAnsi="Arial" w:cs="Arial"/>
                <w:sz w:val="24"/>
                <w:szCs w:val="24"/>
              </w:rPr>
              <w:lastRenderedPageBreak/>
              <w:t>misuse needs assessment to explore any gaps in services for young people with alcohol problems. This gap analysis should consider a full range of interventions, from prevention and awareness raising, to brief interventions, to outpatient treatment, up to inpatient treatment.</w:t>
            </w:r>
          </w:p>
        </w:tc>
      </w:tr>
      <w:tr w:rsidR="009A35E5" w:rsidRPr="00821AEA" w14:paraId="54E28486" w14:textId="77777777" w:rsidTr="006C61BD">
        <w:tc>
          <w:tcPr>
            <w:tcW w:w="1419" w:type="dxa"/>
          </w:tcPr>
          <w:p w14:paraId="54E28482" w14:textId="77777777" w:rsidR="009A35E5" w:rsidRPr="00821AEA" w:rsidDel="00C61399" w:rsidRDefault="009A35E5" w:rsidP="005309C4">
            <w:pPr>
              <w:spacing w:after="0" w:line="240" w:lineRule="auto"/>
              <w:rPr>
                <w:rFonts w:ascii="Arial" w:hAnsi="Arial" w:cs="Arial"/>
                <w:sz w:val="24"/>
                <w:szCs w:val="24"/>
              </w:rPr>
            </w:pPr>
            <w:r w:rsidRPr="00821AEA">
              <w:rPr>
                <w:rFonts w:ascii="Arial" w:hAnsi="Arial" w:cs="Arial"/>
                <w:sz w:val="24"/>
                <w:szCs w:val="24"/>
              </w:rPr>
              <w:lastRenderedPageBreak/>
              <w:t>Public Health</w:t>
            </w:r>
          </w:p>
        </w:tc>
        <w:tc>
          <w:tcPr>
            <w:tcW w:w="4323" w:type="dxa"/>
          </w:tcPr>
          <w:p w14:paraId="54E28483" w14:textId="77777777" w:rsidR="009A35E5" w:rsidRPr="00821AEA" w:rsidRDefault="009A35E5" w:rsidP="005309C4">
            <w:pPr>
              <w:autoSpaceDE w:val="0"/>
              <w:autoSpaceDN w:val="0"/>
              <w:adjustRightInd w:val="0"/>
              <w:spacing w:after="0" w:line="240" w:lineRule="auto"/>
              <w:rPr>
                <w:rFonts w:ascii="Arial" w:hAnsi="Arial" w:cs="Arial"/>
                <w:sz w:val="24"/>
                <w:szCs w:val="24"/>
                <w:lang w:eastAsia="en-GB"/>
              </w:rPr>
            </w:pPr>
            <w:r w:rsidRPr="00821AEA">
              <w:rPr>
                <w:rFonts w:ascii="Arial" w:hAnsi="Arial" w:cs="Arial"/>
                <w:sz w:val="24"/>
                <w:szCs w:val="24"/>
                <w:lang w:eastAsia="en-GB"/>
              </w:rPr>
              <w:t>Ensure that people who are abstaining from alcohol are provided with relapse prevention advice when most appropriate.</w:t>
            </w:r>
          </w:p>
        </w:tc>
        <w:tc>
          <w:tcPr>
            <w:tcW w:w="4607" w:type="dxa"/>
          </w:tcPr>
          <w:p w14:paraId="54E28484"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Write relapse prevention advice into commissioning contract with alcohol agencies</w:t>
            </w:r>
          </w:p>
          <w:p w14:paraId="54E28485" w14:textId="77777777" w:rsidR="009A35E5" w:rsidRPr="00821AEA" w:rsidRDefault="009A35E5" w:rsidP="005309C4">
            <w:pPr>
              <w:spacing w:after="0" w:line="240" w:lineRule="auto"/>
              <w:rPr>
                <w:rFonts w:ascii="Arial" w:hAnsi="Arial" w:cs="Arial"/>
                <w:sz w:val="24"/>
                <w:szCs w:val="24"/>
              </w:rPr>
            </w:pPr>
          </w:p>
        </w:tc>
      </w:tr>
      <w:tr w:rsidR="009A35E5" w:rsidRPr="00821AEA" w14:paraId="54E2848A" w14:textId="77777777" w:rsidTr="006C61BD">
        <w:tc>
          <w:tcPr>
            <w:tcW w:w="1419" w:type="dxa"/>
          </w:tcPr>
          <w:p w14:paraId="54E28487"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CCG</w:t>
            </w:r>
          </w:p>
        </w:tc>
        <w:tc>
          <w:tcPr>
            <w:tcW w:w="4323" w:type="dxa"/>
          </w:tcPr>
          <w:p w14:paraId="54E28488" w14:textId="77777777" w:rsidR="009A35E5" w:rsidRPr="00821AEA" w:rsidRDefault="009A35E5" w:rsidP="005309C4">
            <w:pPr>
              <w:autoSpaceDE w:val="0"/>
              <w:autoSpaceDN w:val="0"/>
              <w:adjustRightInd w:val="0"/>
              <w:spacing w:after="0" w:line="240" w:lineRule="auto"/>
              <w:rPr>
                <w:rFonts w:ascii="Arial" w:hAnsi="Arial" w:cs="Arial"/>
                <w:sz w:val="24"/>
                <w:szCs w:val="24"/>
                <w:lang w:eastAsia="en-GB"/>
              </w:rPr>
            </w:pPr>
            <w:r w:rsidRPr="00821AEA">
              <w:rPr>
                <w:rFonts w:ascii="Arial" w:hAnsi="Arial" w:cs="Arial"/>
                <w:sz w:val="24"/>
                <w:szCs w:val="24"/>
                <w:lang w:eastAsia="en-GB"/>
              </w:rPr>
              <w:t>Ensure that medical records include information on previous domestic abuse and issues with alcohol and this is passed on to new areas.</w:t>
            </w:r>
          </w:p>
        </w:tc>
        <w:tc>
          <w:tcPr>
            <w:tcW w:w="4607" w:type="dxa"/>
          </w:tcPr>
          <w:p w14:paraId="54E28489" w14:textId="77777777" w:rsidR="009A35E5" w:rsidRPr="00821AEA" w:rsidRDefault="009A35E5" w:rsidP="005309C4">
            <w:pPr>
              <w:spacing w:after="0" w:line="240" w:lineRule="auto"/>
              <w:rPr>
                <w:rFonts w:ascii="Arial" w:hAnsi="Arial" w:cs="Arial"/>
                <w:sz w:val="24"/>
                <w:szCs w:val="24"/>
              </w:rPr>
            </w:pPr>
          </w:p>
        </w:tc>
      </w:tr>
      <w:tr w:rsidR="009A35E5" w:rsidRPr="00821AEA" w14:paraId="54E2848E" w14:textId="77777777" w:rsidTr="006C61BD">
        <w:tc>
          <w:tcPr>
            <w:tcW w:w="1419" w:type="dxa"/>
          </w:tcPr>
          <w:p w14:paraId="54E2848B"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CCG</w:t>
            </w:r>
          </w:p>
        </w:tc>
        <w:tc>
          <w:tcPr>
            <w:tcW w:w="4323" w:type="dxa"/>
          </w:tcPr>
          <w:p w14:paraId="54E2848C" w14:textId="77777777" w:rsidR="009A35E5" w:rsidRPr="00821AEA" w:rsidRDefault="009A35E5" w:rsidP="005309C4">
            <w:pPr>
              <w:autoSpaceDE w:val="0"/>
              <w:autoSpaceDN w:val="0"/>
              <w:adjustRightInd w:val="0"/>
              <w:spacing w:after="0" w:line="240" w:lineRule="auto"/>
              <w:rPr>
                <w:rFonts w:ascii="Arial" w:hAnsi="Arial" w:cs="Arial"/>
                <w:sz w:val="24"/>
                <w:szCs w:val="24"/>
                <w:lang w:eastAsia="en-GB"/>
              </w:rPr>
            </w:pPr>
            <w:r w:rsidRPr="00821AEA">
              <w:rPr>
                <w:rFonts w:ascii="Arial" w:hAnsi="Arial" w:cs="Arial"/>
                <w:sz w:val="24"/>
                <w:szCs w:val="24"/>
                <w:lang w:eastAsia="en-GB"/>
              </w:rPr>
              <w:t>Encourage GPs to screen for alcohol issues so that they are referred to sources of support</w:t>
            </w:r>
          </w:p>
        </w:tc>
        <w:tc>
          <w:tcPr>
            <w:tcW w:w="4607" w:type="dxa"/>
          </w:tcPr>
          <w:p w14:paraId="54E2848D" w14:textId="77777777" w:rsidR="009A35E5" w:rsidRPr="00821AEA" w:rsidRDefault="009A35E5" w:rsidP="005309C4">
            <w:pPr>
              <w:spacing w:after="0" w:line="240" w:lineRule="auto"/>
              <w:rPr>
                <w:rFonts w:ascii="Arial" w:hAnsi="Arial" w:cs="Arial"/>
                <w:sz w:val="24"/>
                <w:szCs w:val="24"/>
              </w:rPr>
            </w:pPr>
            <w:r w:rsidRPr="00821AEA">
              <w:rPr>
                <w:rFonts w:ascii="Arial" w:hAnsi="Arial" w:cs="Arial"/>
                <w:sz w:val="24"/>
                <w:szCs w:val="24"/>
              </w:rPr>
              <w:t>Encourage GP practices to sign up to deliver alcohol Directed Enhanced Service</w:t>
            </w:r>
          </w:p>
        </w:tc>
      </w:tr>
    </w:tbl>
    <w:p w14:paraId="54E2848F" w14:textId="77777777" w:rsidR="009A35E5" w:rsidRDefault="009A35E5" w:rsidP="005309C4">
      <w:pPr>
        <w:spacing w:line="240" w:lineRule="auto"/>
        <w:rPr>
          <w:rFonts w:ascii="Arial" w:hAnsi="Arial" w:cs="Arial"/>
          <w:b/>
          <w:sz w:val="24"/>
          <w:szCs w:val="24"/>
        </w:rPr>
      </w:pPr>
    </w:p>
    <w:p w14:paraId="54E28490" w14:textId="77777777" w:rsidR="009A35E5" w:rsidRDefault="009A35E5" w:rsidP="005309C4">
      <w:pPr>
        <w:spacing w:line="240" w:lineRule="auto"/>
        <w:rPr>
          <w:rFonts w:ascii="Arial" w:hAnsi="Arial" w:cs="Arial"/>
          <w:b/>
          <w:sz w:val="24"/>
          <w:szCs w:val="24"/>
        </w:rPr>
      </w:pPr>
    </w:p>
    <w:p w14:paraId="54E28491" w14:textId="77777777" w:rsidR="009A35E5" w:rsidRDefault="009A35E5" w:rsidP="005309C4">
      <w:pPr>
        <w:spacing w:line="240" w:lineRule="auto"/>
        <w:rPr>
          <w:rFonts w:ascii="Arial" w:hAnsi="Arial" w:cs="Arial"/>
          <w:b/>
          <w:sz w:val="24"/>
          <w:szCs w:val="24"/>
        </w:rPr>
      </w:pPr>
    </w:p>
    <w:p w14:paraId="54E28492" w14:textId="77777777" w:rsidR="009A35E5" w:rsidRDefault="009A35E5" w:rsidP="005309C4">
      <w:pPr>
        <w:spacing w:line="240" w:lineRule="auto"/>
        <w:rPr>
          <w:rFonts w:ascii="Arial" w:hAnsi="Arial" w:cs="Arial"/>
          <w:b/>
          <w:sz w:val="24"/>
          <w:szCs w:val="24"/>
        </w:rPr>
      </w:pPr>
    </w:p>
    <w:p w14:paraId="54E28493" w14:textId="77777777" w:rsidR="009A35E5" w:rsidRDefault="009A35E5" w:rsidP="005309C4">
      <w:pPr>
        <w:spacing w:line="240" w:lineRule="auto"/>
        <w:rPr>
          <w:rFonts w:ascii="Arial" w:hAnsi="Arial" w:cs="Arial"/>
          <w:b/>
          <w:sz w:val="24"/>
          <w:szCs w:val="24"/>
        </w:rPr>
      </w:pPr>
    </w:p>
    <w:p w14:paraId="54E28494" w14:textId="77777777" w:rsidR="009A35E5" w:rsidRPr="00A30161" w:rsidRDefault="009A35E5" w:rsidP="005309C4">
      <w:pPr>
        <w:spacing w:line="240" w:lineRule="auto"/>
        <w:rPr>
          <w:rFonts w:ascii="Arial" w:hAnsi="Arial" w:cs="Arial"/>
          <w:sz w:val="24"/>
          <w:szCs w:val="24"/>
        </w:rPr>
      </w:pPr>
      <w:r w:rsidRPr="00A30161">
        <w:rPr>
          <w:rFonts w:ascii="Arial" w:hAnsi="Arial" w:cs="Arial"/>
          <w:b/>
          <w:sz w:val="24"/>
          <w:szCs w:val="24"/>
        </w:rPr>
        <w:t xml:space="preserve">The full overview report of this DHR will be made available on the North Somerset Partnership website following Home Office approval. </w:t>
      </w:r>
      <w:r w:rsidRPr="00A30161">
        <w:rPr>
          <w:rStyle w:val="HTMLCite"/>
          <w:rFonts w:ascii="Arial" w:hAnsi="Arial" w:cs="Arial"/>
          <w:b/>
          <w:color w:val="0000FF"/>
          <w:sz w:val="24"/>
          <w:szCs w:val="24"/>
        </w:rPr>
        <w:t>www.</w:t>
      </w:r>
      <w:r w:rsidRPr="00A30161">
        <w:rPr>
          <w:rStyle w:val="HTMLCite"/>
          <w:rFonts w:ascii="Arial" w:hAnsi="Arial" w:cs="Arial"/>
          <w:b/>
          <w:bCs/>
          <w:color w:val="0000FF"/>
          <w:sz w:val="24"/>
          <w:szCs w:val="24"/>
        </w:rPr>
        <w:t>northsomersetpartnership</w:t>
      </w:r>
      <w:r w:rsidRPr="00A30161">
        <w:rPr>
          <w:rStyle w:val="HTMLCite"/>
          <w:rFonts w:ascii="Arial" w:hAnsi="Arial" w:cs="Arial"/>
          <w:b/>
          <w:color w:val="0000FF"/>
          <w:sz w:val="24"/>
          <w:szCs w:val="24"/>
        </w:rPr>
        <w:t>.co.uk</w:t>
      </w:r>
      <w:r w:rsidRPr="00A30161" w:rsidDel="002E6983">
        <w:rPr>
          <w:rFonts w:ascii="Arial" w:hAnsi="Arial" w:cs="Arial"/>
          <w:b/>
          <w:color w:val="0000FF"/>
          <w:sz w:val="24"/>
          <w:szCs w:val="24"/>
        </w:rPr>
        <w:t xml:space="preserve"> </w:t>
      </w:r>
      <w:r w:rsidRPr="00A30161">
        <w:rPr>
          <w:rFonts w:ascii="Arial" w:hAnsi="Arial" w:cs="Arial"/>
          <w:b/>
          <w:color w:val="0000FF"/>
          <w:sz w:val="24"/>
          <w:szCs w:val="24"/>
        </w:rPr>
        <w:t xml:space="preserve"> </w:t>
      </w:r>
    </w:p>
    <w:sectPr w:rsidR="009A35E5" w:rsidRPr="00A30161" w:rsidSect="00A55F4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28497" w14:textId="77777777" w:rsidR="009A35E5" w:rsidRDefault="009A35E5" w:rsidP="007653B5">
      <w:pPr>
        <w:spacing w:after="0" w:line="240" w:lineRule="auto"/>
      </w:pPr>
      <w:r>
        <w:separator/>
      </w:r>
    </w:p>
  </w:endnote>
  <w:endnote w:type="continuationSeparator" w:id="0">
    <w:p w14:paraId="54E28498" w14:textId="77777777" w:rsidR="009A35E5" w:rsidRDefault="009A35E5" w:rsidP="0076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8499" w14:textId="77777777" w:rsidR="009A35E5" w:rsidRDefault="00E70706">
    <w:pPr>
      <w:pStyle w:val="Footer"/>
      <w:jc w:val="center"/>
    </w:pPr>
    <w:r>
      <w:rPr>
        <w:noProof/>
      </w:rPr>
      <w:fldChar w:fldCharType="begin"/>
    </w:r>
    <w:r>
      <w:rPr>
        <w:noProof/>
      </w:rPr>
      <w:instrText xml:space="preserve"> PAGE   \* MERGEFORMAT </w:instrText>
    </w:r>
    <w:r>
      <w:rPr>
        <w:noProof/>
      </w:rPr>
      <w:fldChar w:fldCharType="separate"/>
    </w:r>
    <w:r w:rsidR="009B462A">
      <w:rPr>
        <w:noProof/>
      </w:rPr>
      <w:t>1</w:t>
    </w:r>
    <w:r>
      <w:rPr>
        <w:noProof/>
      </w:rPr>
      <w:fldChar w:fldCharType="end"/>
    </w:r>
  </w:p>
  <w:p w14:paraId="54E2849A" w14:textId="77777777" w:rsidR="009A35E5" w:rsidRDefault="009A3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8495" w14:textId="77777777" w:rsidR="009A35E5" w:rsidRDefault="009A35E5" w:rsidP="007653B5">
      <w:pPr>
        <w:spacing w:after="0" w:line="240" w:lineRule="auto"/>
      </w:pPr>
      <w:r>
        <w:separator/>
      </w:r>
    </w:p>
  </w:footnote>
  <w:footnote w:type="continuationSeparator" w:id="0">
    <w:p w14:paraId="54E28496" w14:textId="77777777" w:rsidR="009A35E5" w:rsidRDefault="009A35E5" w:rsidP="0076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1C3E"/>
    <w:multiLevelType w:val="hybridMultilevel"/>
    <w:tmpl w:val="02D85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62774"/>
    <w:multiLevelType w:val="hybridMultilevel"/>
    <w:tmpl w:val="73B8DE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3EB3FDA"/>
    <w:multiLevelType w:val="multilevel"/>
    <w:tmpl w:val="EE6ADAD2"/>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b/>
        <w:bCs/>
      </w:rPr>
    </w:lvl>
    <w:lvl w:ilvl="2">
      <w:start w:val="1"/>
      <w:numFmt w:val="decimal"/>
      <w:isLgl/>
      <w:lvlText w:val="%1.%2.%3"/>
      <w:lvlJc w:val="left"/>
      <w:pPr>
        <w:ind w:left="2160" w:hanging="720"/>
      </w:pPr>
      <w:rPr>
        <w:rFonts w:cs="Times New Roman" w:hint="default"/>
        <w:b/>
        <w:bCs/>
      </w:rPr>
    </w:lvl>
    <w:lvl w:ilvl="3">
      <w:start w:val="1"/>
      <w:numFmt w:val="decimal"/>
      <w:isLgl/>
      <w:lvlText w:val="%1.%2.%3.%4"/>
      <w:lvlJc w:val="left"/>
      <w:pPr>
        <w:ind w:left="2520" w:hanging="720"/>
      </w:pPr>
      <w:rPr>
        <w:rFonts w:cs="Times New Roman" w:hint="default"/>
        <w:b/>
        <w:bCs/>
      </w:rPr>
    </w:lvl>
    <w:lvl w:ilvl="4">
      <w:start w:val="1"/>
      <w:numFmt w:val="decimal"/>
      <w:isLgl/>
      <w:lvlText w:val="%1.%2.%3.%4.%5"/>
      <w:lvlJc w:val="left"/>
      <w:pPr>
        <w:ind w:left="3240"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20" w:hanging="1440"/>
      </w:pPr>
      <w:rPr>
        <w:rFonts w:cs="Times New Roman" w:hint="default"/>
        <w:b/>
        <w:bCs/>
      </w:rPr>
    </w:lvl>
    <w:lvl w:ilvl="7">
      <w:start w:val="1"/>
      <w:numFmt w:val="decimal"/>
      <w:isLgl/>
      <w:lvlText w:val="%1.%2.%3.%4.%5.%6.%7.%8"/>
      <w:lvlJc w:val="left"/>
      <w:pPr>
        <w:ind w:left="4680" w:hanging="1440"/>
      </w:pPr>
      <w:rPr>
        <w:rFonts w:cs="Times New Roman" w:hint="default"/>
        <w:b/>
        <w:bCs/>
      </w:rPr>
    </w:lvl>
    <w:lvl w:ilvl="8">
      <w:start w:val="1"/>
      <w:numFmt w:val="decimal"/>
      <w:isLgl/>
      <w:lvlText w:val="%1.%2.%3.%4.%5.%6.%7.%8.%9"/>
      <w:lvlJc w:val="left"/>
      <w:pPr>
        <w:ind w:left="5040" w:hanging="1440"/>
      </w:pPr>
      <w:rPr>
        <w:rFonts w:cs="Times New Roman" w:hint="default"/>
        <w:b/>
        <w:bCs/>
      </w:rPr>
    </w:lvl>
  </w:abstractNum>
  <w:abstractNum w:abstractNumId="3" w15:restartNumberingAfterBreak="0">
    <w:nsid w:val="466D13F2"/>
    <w:multiLevelType w:val="hybridMultilevel"/>
    <w:tmpl w:val="56F45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176039"/>
    <w:multiLevelType w:val="hybridMultilevel"/>
    <w:tmpl w:val="190A12D2"/>
    <w:lvl w:ilvl="0" w:tplc="0809000F">
      <w:start w:val="1"/>
      <w:numFmt w:val="decimal"/>
      <w:lvlText w:val="%1."/>
      <w:lvlJc w:val="left"/>
      <w:pPr>
        <w:tabs>
          <w:tab w:val="num" w:pos="1440"/>
        </w:tabs>
        <w:ind w:left="1440" w:hanging="360"/>
      </w:pPr>
      <w:rPr>
        <w:rFonts w:cs="Times New Roman" w:hint="default"/>
      </w:rPr>
    </w:lvl>
    <w:lvl w:ilvl="1" w:tplc="0809000F">
      <w:start w:val="1"/>
      <w:numFmt w:val="decimal"/>
      <w:lvlText w:val="%2."/>
      <w:lvlJc w:val="left"/>
      <w:pPr>
        <w:tabs>
          <w:tab w:val="num" w:pos="2160"/>
        </w:tabs>
        <w:ind w:left="2160" w:hanging="360"/>
      </w:pPr>
      <w:rPr>
        <w:rFonts w:cs="Times New Roman"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50A2C7B"/>
    <w:multiLevelType w:val="multilevel"/>
    <w:tmpl w:val="6038AFFA"/>
    <w:lvl w:ilvl="0">
      <w:start w:val="1"/>
      <w:numFmt w:val="decimal"/>
      <w:lvlText w:val="%1."/>
      <w:lvlJc w:val="left"/>
      <w:pPr>
        <w:ind w:left="72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160" w:hanging="72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240" w:hanging="108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320" w:hanging="1440"/>
      </w:pPr>
      <w:rPr>
        <w:rFonts w:cs="Times New Roman" w:hint="default"/>
        <w:b/>
        <w:bCs/>
      </w:rPr>
    </w:lvl>
    <w:lvl w:ilvl="8">
      <w:start w:val="1"/>
      <w:numFmt w:val="decimal"/>
      <w:isLgl/>
      <w:lvlText w:val="%1.%2.%3.%4.%5.%6.%7.%8.%9"/>
      <w:lvlJc w:val="left"/>
      <w:pPr>
        <w:ind w:left="4680" w:hanging="1440"/>
      </w:pPr>
      <w:rPr>
        <w:rFonts w:cs="Times New Roman" w:hint="default"/>
        <w:b/>
        <w:bCs/>
      </w:rPr>
    </w:lvl>
  </w:abstractNum>
  <w:abstractNum w:abstractNumId="6" w15:restartNumberingAfterBreak="0">
    <w:nsid w:val="6A161946"/>
    <w:multiLevelType w:val="hybridMultilevel"/>
    <w:tmpl w:val="84E26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C6CF8"/>
    <w:multiLevelType w:val="multilevel"/>
    <w:tmpl w:val="6276DB38"/>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ind w:left="1440" w:hanging="360"/>
      </w:pPr>
      <w:rPr>
        <w:rFonts w:cs="Times New Roman" w:hint="default"/>
        <w:b/>
        <w:bCs/>
      </w:rPr>
    </w:lvl>
    <w:lvl w:ilvl="2">
      <w:start w:val="1"/>
      <w:numFmt w:val="decimal"/>
      <w:isLgl/>
      <w:lvlText w:val="%1.%2.%3"/>
      <w:lvlJc w:val="left"/>
      <w:pPr>
        <w:ind w:left="2160" w:hanging="720"/>
      </w:pPr>
      <w:rPr>
        <w:rFonts w:cs="Times New Roman" w:hint="default"/>
        <w:b/>
        <w:bCs/>
      </w:rPr>
    </w:lvl>
    <w:lvl w:ilvl="3">
      <w:start w:val="1"/>
      <w:numFmt w:val="decimal"/>
      <w:isLgl/>
      <w:lvlText w:val="%1.%2.%3.%4"/>
      <w:lvlJc w:val="left"/>
      <w:pPr>
        <w:ind w:left="2520" w:hanging="720"/>
      </w:pPr>
      <w:rPr>
        <w:rFonts w:cs="Times New Roman" w:hint="default"/>
        <w:b/>
        <w:bCs/>
      </w:rPr>
    </w:lvl>
    <w:lvl w:ilvl="4">
      <w:start w:val="1"/>
      <w:numFmt w:val="decimal"/>
      <w:isLgl/>
      <w:lvlText w:val="%1.%2.%3.%4.%5"/>
      <w:lvlJc w:val="left"/>
      <w:pPr>
        <w:ind w:left="3240"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20" w:hanging="1440"/>
      </w:pPr>
      <w:rPr>
        <w:rFonts w:cs="Times New Roman" w:hint="default"/>
        <w:b/>
        <w:bCs/>
      </w:rPr>
    </w:lvl>
    <w:lvl w:ilvl="7">
      <w:start w:val="1"/>
      <w:numFmt w:val="decimal"/>
      <w:isLgl/>
      <w:lvlText w:val="%1.%2.%3.%4.%5.%6.%7.%8"/>
      <w:lvlJc w:val="left"/>
      <w:pPr>
        <w:ind w:left="4680" w:hanging="1440"/>
      </w:pPr>
      <w:rPr>
        <w:rFonts w:cs="Times New Roman" w:hint="default"/>
        <w:b/>
        <w:bCs/>
      </w:rPr>
    </w:lvl>
    <w:lvl w:ilvl="8">
      <w:start w:val="1"/>
      <w:numFmt w:val="decimal"/>
      <w:isLgl/>
      <w:lvlText w:val="%1.%2.%3.%4.%5.%6.%7.%8.%9"/>
      <w:lvlJc w:val="left"/>
      <w:pPr>
        <w:ind w:left="5040" w:hanging="1440"/>
      </w:pPr>
      <w:rPr>
        <w:rFonts w:cs="Times New Roman" w:hint="default"/>
        <w:b/>
        <w:bCs/>
      </w:rPr>
    </w:lvl>
  </w:abstractNum>
  <w:abstractNum w:abstractNumId="8" w15:restartNumberingAfterBreak="0">
    <w:nsid w:val="75D70398"/>
    <w:multiLevelType w:val="multilevel"/>
    <w:tmpl w:val="EE6ADAD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bCs/>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160" w:hanging="72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240" w:hanging="108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320" w:hanging="1440"/>
      </w:pPr>
      <w:rPr>
        <w:rFonts w:cs="Times New Roman" w:hint="default"/>
        <w:b/>
        <w:bCs/>
      </w:rPr>
    </w:lvl>
    <w:lvl w:ilvl="8">
      <w:start w:val="1"/>
      <w:numFmt w:val="decimal"/>
      <w:isLgl/>
      <w:lvlText w:val="%1.%2.%3.%4.%5.%6.%7.%8.%9"/>
      <w:lvlJc w:val="left"/>
      <w:pPr>
        <w:ind w:left="4680" w:hanging="1440"/>
      </w:pPr>
      <w:rPr>
        <w:rFonts w:cs="Times New Roman" w:hint="default"/>
        <w:b/>
        <w:bCs/>
      </w:rPr>
    </w:lvl>
  </w:abstractNum>
  <w:num w:numId="1">
    <w:abstractNumId w:val="8"/>
  </w:num>
  <w:num w:numId="2">
    <w:abstractNumId w:val="0"/>
  </w:num>
  <w:num w:numId="3">
    <w:abstractNumId w:val="4"/>
  </w:num>
  <w:num w:numId="4">
    <w:abstractNumId w:val="5"/>
  </w:num>
  <w:num w:numId="5">
    <w:abstractNumId w:val="7"/>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4A88"/>
    <w:rsid w:val="000076AD"/>
    <w:rsid w:val="0002727B"/>
    <w:rsid w:val="00044E4D"/>
    <w:rsid w:val="000473E3"/>
    <w:rsid w:val="000500D1"/>
    <w:rsid w:val="00051AEF"/>
    <w:rsid w:val="00057FE8"/>
    <w:rsid w:val="000767DD"/>
    <w:rsid w:val="00077C04"/>
    <w:rsid w:val="0008088A"/>
    <w:rsid w:val="00083A4F"/>
    <w:rsid w:val="0009769C"/>
    <w:rsid w:val="000B7066"/>
    <w:rsid w:val="000C47B6"/>
    <w:rsid w:val="000F6302"/>
    <w:rsid w:val="0011213B"/>
    <w:rsid w:val="001367E8"/>
    <w:rsid w:val="00136CF0"/>
    <w:rsid w:val="00144C2F"/>
    <w:rsid w:val="00156E06"/>
    <w:rsid w:val="0016202F"/>
    <w:rsid w:val="00162159"/>
    <w:rsid w:val="00184522"/>
    <w:rsid w:val="00192345"/>
    <w:rsid w:val="001A51D4"/>
    <w:rsid w:val="001B332F"/>
    <w:rsid w:val="001B4B39"/>
    <w:rsid w:val="001F67AF"/>
    <w:rsid w:val="001F6A3A"/>
    <w:rsid w:val="00206BAD"/>
    <w:rsid w:val="00207A8F"/>
    <w:rsid w:val="00233F8B"/>
    <w:rsid w:val="00241B5E"/>
    <w:rsid w:val="00242C7A"/>
    <w:rsid w:val="002478FA"/>
    <w:rsid w:val="00266FE4"/>
    <w:rsid w:val="00286BAE"/>
    <w:rsid w:val="002918DE"/>
    <w:rsid w:val="002A6451"/>
    <w:rsid w:val="002B725E"/>
    <w:rsid w:val="002D7503"/>
    <w:rsid w:val="002E6983"/>
    <w:rsid w:val="002F5DCF"/>
    <w:rsid w:val="0030003A"/>
    <w:rsid w:val="003002A6"/>
    <w:rsid w:val="00313B15"/>
    <w:rsid w:val="00324C2E"/>
    <w:rsid w:val="0032546B"/>
    <w:rsid w:val="00325603"/>
    <w:rsid w:val="00335DB9"/>
    <w:rsid w:val="00343E4B"/>
    <w:rsid w:val="00357FA6"/>
    <w:rsid w:val="00361D41"/>
    <w:rsid w:val="00363FE9"/>
    <w:rsid w:val="0036508C"/>
    <w:rsid w:val="00365A19"/>
    <w:rsid w:val="00373377"/>
    <w:rsid w:val="00393220"/>
    <w:rsid w:val="003A2C98"/>
    <w:rsid w:val="003B082D"/>
    <w:rsid w:val="003B482C"/>
    <w:rsid w:val="003C0CBA"/>
    <w:rsid w:val="003D57A9"/>
    <w:rsid w:val="003E0B33"/>
    <w:rsid w:val="003E5BE5"/>
    <w:rsid w:val="003E6BB5"/>
    <w:rsid w:val="003F1142"/>
    <w:rsid w:val="003F2117"/>
    <w:rsid w:val="003F6DA6"/>
    <w:rsid w:val="004023FD"/>
    <w:rsid w:val="0040297A"/>
    <w:rsid w:val="00415A49"/>
    <w:rsid w:val="00461A44"/>
    <w:rsid w:val="00463DDC"/>
    <w:rsid w:val="004905E2"/>
    <w:rsid w:val="004A6F3A"/>
    <w:rsid w:val="004C1E0B"/>
    <w:rsid w:val="0051144C"/>
    <w:rsid w:val="00512209"/>
    <w:rsid w:val="00513F97"/>
    <w:rsid w:val="005309C4"/>
    <w:rsid w:val="00531B28"/>
    <w:rsid w:val="00532041"/>
    <w:rsid w:val="00540E70"/>
    <w:rsid w:val="0055149F"/>
    <w:rsid w:val="00570998"/>
    <w:rsid w:val="005A600B"/>
    <w:rsid w:val="005B571E"/>
    <w:rsid w:val="005C09CF"/>
    <w:rsid w:val="005D4F0D"/>
    <w:rsid w:val="005E26BE"/>
    <w:rsid w:val="005F337B"/>
    <w:rsid w:val="005F3919"/>
    <w:rsid w:val="00622572"/>
    <w:rsid w:val="00623287"/>
    <w:rsid w:val="006246D0"/>
    <w:rsid w:val="00642C08"/>
    <w:rsid w:val="0064563F"/>
    <w:rsid w:val="00651D01"/>
    <w:rsid w:val="00663F4F"/>
    <w:rsid w:val="006835B7"/>
    <w:rsid w:val="006940E6"/>
    <w:rsid w:val="006B0736"/>
    <w:rsid w:val="006B5042"/>
    <w:rsid w:val="006B50F7"/>
    <w:rsid w:val="006C61BD"/>
    <w:rsid w:val="00703546"/>
    <w:rsid w:val="00703C46"/>
    <w:rsid w:val="00714D16"/>
    <w:rsid w:val="00726F18"/>
    <w:rsid w:val="00732CEE"/>
    <w:rsid w:val="0075117C"/>
    <w:rsid w:val="00761786"/>
    <w:rsid w:val="00762BD8"/>
    <w:rsid w:val="007646AB"/>
    <w:rsid w:val="007653B5"/>
    <w:rsid w:val="00772069"/>
    <w:rsid w:val="00795CE3"/>
    <w:rsid w:val="007A07E0"/>
    <w:rsid w:val="007A3F34"/>
    <w:rsid w:val="007A4D6C"/>
    <w:rsid w:val="007C5664"/>
    <w:rsid w:val="007D03A4"/>
    <w:rsid w:val="007E21FF"/>
    <w:rsid w:val="007F5757"/>
    <w:rsid w:val="00821AEA"/>
    <w:rsid w:val="008348C3"/>
    <w:rsid w:val="00844100"/>
    <w:rsid w:val="00846562"/>
    <w:rsid w:val="0086786F"/>
    <w:rsid w:val="0087313C"/>
    <w:rsid w:val="00891177"/>
    <w:rsid w:val="008A5F2D"/>
    <w:rsid w:val="008B1ACF"/>
    <w:rsid w:val="008C2029"/>
    <w:rsid w:val="008D7249"/>
    <w:rsid w:val="0091020A"/>
    <w:rsid w:val="009160CA"/>
    <w:rsid w:val="009351FB"/>
    <w:rsid w:val="00937644"/>
    <w:rsid w:val="00945A7C"/>
    <w:rsid w:val="0095793E"/>
    <w:rsid w:val="009758A6"/>
    <w:rsid w:val="009804A3"/>
    <w:rsid w:val="00981567"/>
    <w:rsid w:val="00990913"/>
    <w:rsid w:val="009A0C4E"/>
    <w:rsid w:val="009A35E5"/>
    <w:rsid w:val="009B462A"/>
    <w:rsid w:val="009B627E"/>
    <w:rsid w:val="009C035A"/>
    <w:rsid w:val="009C6285"/>
    <w:rsid w:val="009F0EEA"/>
    <w:rsid w:val="009F39C8"/>
    <w:rsid w:val="009F4A41"/>
    <w:rsid w:val="009F5868"/>
    <w:rsid w:val="00A25EC2"/>
    <w:rsid w:val="00A30161"/>
    <w:rsid w:val="00A362FA"/>
    <w:rsid w:val="00A5479C"/>
    <w:rsid w:val="00A55F42"/>
    <w:rsid w:val="00A72C34"/>
    <w:rsid w:val="00A935F6"/>
    <w:rsid w:val="00A944B4"/>
    <w:rsid w:val="00AB2152"/>
    <w:rsid w:val="00AE2C68"/>
    <w:rsid w:val="00AE64CD"/>
    <w:rsid w:val="00AF031F"/>
    <w:rsid w:val="00B10AB6"/>
    <w:rsid w:val="00B10BF4"/>
    <w:rsid w:val="00B120C1"/>
    <w:rsid w:val="00B4430B"/>
    <w:rsid w:val="00B565D8"/>
    <w:rsid w:val="00B87218"/>
    <w:rsid w:val="00BA5027"/>
    <w:rsid w:val="00BC0CD0"/>
    <w:rsid w:val="00BE4020"/>
    <w:rsid w:val="00BF561F"/>
    <w:rsid w:val="00C021A8"/>
    <w:rsid w:val="00C031CB"/>
    <w:rsid w:val="00C12C54"/>
    <w:rsid w:val="00C15E6A"/>
    <w:rsid w:val="00C208ED"/>
    <w:rsid w:val="00C42A73"/>
    <w:rsid w:val="00C56D02"/>
    <w:rsid w:val="00C61399"/>
    <w:rsid w:val="00C6203F"/>
    <w:rsid w:val="00C757C4"/>
    <w:rsid w:val="00C80C3D"/>
    <w:rsid w:val="00CA5561"/>
    <w:rsid w:val="00CD73EB"/>
    <w:rsid w:val="00CF7C3E"/>
    <w:rsid w:val="00D10C6C"/>
    <w:rsid w:val="00D13D41"/>
    <w:rsid w:val="00D14A88"/>
    <w:rsid w:val="00D15D1A"/>
    <w:rsid w:val="00D17D53"/>
    <w:rsid w:val="00D359B9"/>
    <w:rsid w:val="00D37396"/>
    <w:rsid w:val="00D46119"/>
    <w:rsid w:val="00D533F6"/>
    <w:rsid w:val="00D6364A"/>
    <w:rsid w:val="00D669F6"/>
    <w:rsid w:val="00D70745"/>
    <w:rsid w:val="00D72E54"/>
    <w:rsid w:val="00D84EEF"/>
    <w:rsid w:val="00DA6D4E"/>
    <w:rsid w:val="00DB1868"/>
    <w:rsid w:val="00DB462B"/>
    <w:rsid w:val="00DC3598"/>
    <w:rsid w:val="00DD3862"/>
    <w:rsid w:val="00DD5C8A"/>
    <w:rsid w:val="00DD5CF1"/>
    <w:rsid w:val="00DE2CC7"/>
    <w:rsid w:val="00DE67D9"/>
    <w:rsid w:val="00E00791"/>
    <w:rsid w:val="00E009BE"/>
    <w:rsid w:val="00E06153"/>
    <w:rsid w:val="00E06325"/>
    <w:rsid w:val="00E118FF"/>
    <w:rsid w:val="00E11A91"/>
    <w:rsid w:val="00E362EC"/>
    <w:rsid w:val="00E3667F"/>
    <w:rsid w:val="00E37243"/>
    <w:rsid w:val="00E511AF"/>
    <w:rsid w:val="00E51507"/>
    <w:rsid w:val="00E533E3"/>
    <w:rsid w:val="00E67844"/>
    <w:rsid w:val="00E70706"/>
    <w:rsid w:val="00E87B74"/>
    <w:rsid w:val="00E87BE4"/>
    <w:rsid w:val="00EA22C0"/>
    <w:rsid w:val="00EA2F92"/>
    <w:rsid w:val="00EB17FD"/>
    <w:rsid w:val="00EC23DF"/>
    <w:rsid w:val="00EC460A"/>
    <w:rsid w:val="00ED4041"/>
    <w:rsid w:val="00F002B2"/>
    <w:rsid w:val="00F10EAC"/>
    <w:rsid w:val="00F20EA5"/>
    <w:rsid w:val="00F25399"/>
    <w:rsid w:val="00F32CB9"/>
    <w:rsid w:val="00F34631"/>
    <w:rsid w:val="00F436E3"/>
    <w:rsid w:val="00F44BF3"/>
    <w:rsid w:val="00F70734"/>
    <w:rsid w:val="00F72796"/>
    <w:rsid w:val="00F8359E"/>
    <w:rsid w:val="00F83BDC"/>
    <w:rsid w:val="00F93742"/>
    <w:rsid w:val="00FA075F"/>
    <w:rsid w:val="00FA09C4"/>
    <w:rsid w:val="00FB6DBA"/>
    <w:rsid w:val="00FE6F32"/>
    <w:rsid w:val="00FF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283F4"/>
  <w15:docId w15:val="{57A2874D-E4A4-4437-91B7-01EF422F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5F42"/>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4A88"/>
    <w:pPr>
      <w:ind w:left="720"/>
    </w:pPr>
  </w:style>
  <w:style w:type="paragraph" w:styleId="Header">
    <w:name w:val="header"/>
    <w:basedOn w:val="Normal"/>
    <w:link w:val="HeaderChar"/>
    <w:uiPriority w:val="99"/>
    <w:rsid w:val="007653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53B5"/>
    <w:rPr>
      <w:rFonts w:cs="Times New Roman"/>
    </w:rPr>
  </w:style>
  <w:style w:type="paragraph" w:styleId="Footer">
    <w:name w:val="footer"/>
    <w:basedOn w:val="Normal"/>
    <w:link w:val="FooterChar"/>
    <w:uiPriority w:val="99"/>
    <w:rsid w:val="007653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653B5"/>
    <w:rPr>
      <w:rFonts w:cs="Times New Roman"/>
    </w:rPr>
  </w:style>
  <w:style w:type="table" w:styleId="TableGrid">
    <w:name w:val="Table Grid"/>
    <w:basedOn w:val="TableNormal"/>
    <w:uiPriority w:val="59"/>
    <w:rsid w:val="009351F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33F8B"/>
    <w:rPr>
      <w:rFonts w:ascii="Tahoma" w:hAnsi="Tahoma" w:cs="Tahoma"/>
      <w:sz w:val="16"/>
      <w:szCs w:val="16"/>
    </w:rPr>
  </w:style>
  <w:style w:type="character" w:customStyle="1" w:styleId="BalloonTextChar">
    <w:name w:val="Balloon Text Char"/>
    <w:basedOn w:val="DefaultParagraphFont"/>
    <w:link w:val="BalloonText"/>
    <w:uiPriority w:val="99"/>
    <w:semiHidden/>
    <w:rsid w:val="00902C88"/>
    <w:rPr>
      <w:rFonts w:ascii="Times New Roman" w:hAnsi="Times New Roman" w:cs="Calibri"/>
      <w:sz w:val="0"/>
      <w:szCs w:val="0"/>
      <w:lang w:eastAsia="en-US"/>
    </w:rPr>
  </w:style>
  <w:style w:type="character" w:styleId="HTMLCite">
    <w:name w:val="HTML Cite"/>
    <w:basedOn w:val="DefaultParagraphFont"/>
    <w:uiPriority w:val="99"/>
    <w:rsid w:val="002E6983"/>
    <w:rPr>
      <w:rFonts w:cs="Times New Roman"/>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1" ma:contentTypeDescription="Create a new document." ma:contentTypeScope="" ma:versionID="521e67ec045be74751410aa6b09be18e">
  <xsd:schema xmlns:xsd="http://www.w3.org/2001/XMLSchema" xmlns:xs="http://www.w3.org/2001/XMLSchema" xmlns:p="http://schemas.microsoft.com/office/2006/metadata/properties" xmlns:ns3="3db66e94-3ccc-4496-b2eb-e6b86ac98581" xmlns:ns4="a29e1cc1-88cf-4ae8-aed2-71b7523385ce" targetNamespace="http://schemas.microsoft.com/office/2006/metadata/properties" ma:root="true" ma:fieldsID="d5e7ab1278aff1366ae62bd37766e5dc" ns3:_="" ns4:_="">
    <xsd:import namespace="3db66e94-3ccc-4496-b2eb-e6b86ac98581"/>
    <xsd:import namespace="a29e1cc1-88cf-4ae8-aed2-71b7523385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e1cc1-88cf-4ae8-aed2-71b7523385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AB740-909A-47FB-8858-1301849C8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a29e1cc1-88cf-4ae8-aed2-71b75233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AEAEB-A6FD-47F2-A3BE-5FEF2C96B655}">
  <ds:schemaRefs>
    <ds:schemaRef ds:uri="http://schemas.microsoft.com/sharepoint/v3/contenttype/forms"/>
  </ds:schemaRefs>
</ds:datastoreItem>
</file>

<file path=customXml/itemProps3.xml><?xml version="1.0" encoding="utf-8"?>
<ds:datastoreItem xmlns:ds="http://schemas.openxmlformats.org/officeDocument/2006/customXml" ds:itemID="{3CF564AE-94A2-4196-A158-3B4AC0213064}">
  <ds:schemaRefs>
    <ds:schemaRef ds:uri="http://schemas.microsoft.com/office/2006/metadata/properties"/>
    <ds:schemaRef ds:uri="http://schemas.microsoft.com/office/2006/documentManagement/types"/>
    <ds:schemaRef ds:uri="http://purl.org/dc/terms/"/>
    <ds:schemaRef ds:uri="a29e1cc1-88cf-4ae8-aed2-71b7523385ce"/>
    <ds:schemaRef ds:uri="http://purl.org/dc/dcmitype/"/>
    <ds:schemaRef ds:uri="http://schemas.microsoft.com/office/infopath/2007/PartnerControls"/>
    <ds:schemaRef ds:uri="http://purl.org/dc/elements/1.1/"/>
    <ds:schemaRef ds:uri="http://schemas.openxmlformats.org/package/2006/metadata/core-properties"/>
    <ds:schemaRef ds:uri="3db66e94-3ccc-4496-b2eb-e6b86ac985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DOMESTIC HOMICIDE REVIEW</vt:lpstr>
    </vt:vector>
  </TitlesOfParts>
  <Company>Microsoft</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HOMICIDE REVIEW</dc:title>
  <dc:subject/>
  <dc:creator>Cath</dc:creator>
  <cp:keywords/>
  <dc:description/>
  <cp:lastModifiedBy>Harry Mills</cp:lastModifiedBy>
  <cp:revision>2</cp:revision>
  <cp:lastPrinted>2014-05-28T10:25:00Z</cp:lastPrinted>
  <dcterms:created xsi:type="dcterms:W3CDTF">2019-09-02T09:23:00Z</dcterms:created>
  <dcterms:modified xsi:type="dcterms:W3CDTF">2019-09-02T09:23:00Z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668624546</vt:i4>
  </property>
  <property fmtid="{D5CDD505-2E9C-101B-9397-08002B2CF9AE}" pid="3" name="_NewReviewCycle">
    <vt:lpwstr/>
  </property>
  <property fmtid="{D5CDD505-2E9C-101B-9397-08002B2CF9AE}" pid="4" name="_EmailSubject">
    <vt:lpwstr>DHRs</vt:lpwstr>
  </property>
  <property fmtid="{D5CDD505-2E9C-101B-9397-08002B2CF9AE}" pid="5" name="_AuthorEmail">
    <vt:lpwstr>Louise.Branch@n-somerset.gov.uk</vt:lpwstr>
  </property>
  <property fmtid="{D5CDD505-2E9C-101B-9397-08002B2CF9AE}" pid="6" name="_AuthorEmailDisplayName">
    <vt:lpwstr>Louise Branch</vt:lpwstr>
  </property>
  <property fmtid="{D5CDD505-2E9C-101B-9397-08002B2CF9AE}" pid="7" name="_ReviewingToolsShownOnce">
    <vt:lpwstr/>
  </property>
  <property fmtid="{D5CDD505-2E9C-101B-9397-08002B2CF9AE}" pid="8" name="ContentTypeId">
    <vt:lpwstr>0x0101003ADC94000AF11D449C3A3DF59B92A4AE</vt:lpwstr>
  </property>
</Properties>
</file>